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盐城市中医院远程动态心电监测分析服务采购项目</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项目编号：JSZC-320900-JSHY-G2025-0471</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1009-2541HOLLY68D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63"/>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5</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12</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668"/>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669"/>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669"/>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669"/>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w:t>
      </w:r>
      <w:r/>
    </w:p>
    <w:p>
      <w:pPr>
        <w:pStyle w:val="669"/>
        <w:jc w:val="center"/>
        <w:spacing w:line="360" w:lineRule="auto"/>
        <w:tabs>
          <w:tab w:val="right" w:pos="8844" w:leader="dot"/>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28</w:t>
      </w:r>
      <w:r/>
    </w:p>
    <w:p>
      <w:pPr>
        <w:pStyle w:val="669"/>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38</w:t>
      </w:r>
      <w:r/>
    </w:p>
    <w:p>
      <w:pPr>
        <w:pStyle w:val="669"/>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42</w:t>
      </w:r>
      <w:r/>
    </w:p>
    <w:p>
      <w:pPr>
        <w:pStyle w:val="670"/>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shd w:val="nil"/>
        <w:rPr>
          <w:rFonts w:hint="eastAsia"/>
          <w:color w:val="auto"/>
          <w:highlight w:val="none"/>
        </w:rPr>
      </w:pPr>
      <w:r>
        <w:rPr>
          <w:rFonts w:hint="eastAsia"/>
          <w:color w:val="auto"/>
          <w:highlight w:val="none"/>
        </w:rPr>
        <w:br w:type="page" w:clear="all"/>
      </w:r>
      <w:r>
        <w:rPr>
          <w:rFonts w:hint="eastAsia"/>
          <w:color w:val="auto"/>
          <w:highlight w:val="none"/>
        </w:rP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14268"/>
      <w:r/>
      <w:bookmarkStart w:id="3" w:name="_Toc514054470"/>
      <w:r>
        <w:rPr>
          <w:rFonts w:hint="eastAsia"/>
          <w:b/>
          <w:color w:val="auto"/>
          <w:sz w:val="44"/>
          <w:szCs w:val="44"/>
          <w:highlight w:val="none"/>
        </w:rPr>
        <w:t xml:space="preserve">第一部分  招标公告</w:t>
      </w:r>
      <w:bookmarkEnd w:id="2"/>
      <w:r/>
      <w:bookmarkEnd w:id="3"/>
      <w:r/>
      <w:r/>
    </w:p>
    <w:tbl>
      <w:tblPr>
        <w:tblStyle w:val="663"/>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盐城市中医院远程动态心电监测分析服务采购项目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（北京时间）前递交投标文件。</w:t>
            </w:r>
            <w:r/>
          </w:p>
        </w:tc>
      </w:tr>
    </w:tbl>
    <w:p>
      <w:pPr>
        <w:pStyle w:val="671"/>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671"/>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项目编号：JSZC-320900-JSHY-G2025-0471</w:t>
      </w:r>
      <w:r/>
    </w:p>
    <w:p>
      <w:pPr>
        <w:pStyle w:val="671"/>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盐城市中医院远程动态心电监测分析服务采购项目</w:t>
      </w:r>
      <w:r/>
    </w:p>
    <w:p>
      <w:pPr>
        <w:pStyle w:val="671"/>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671"/>
        <w:ind w:firstLine="720"/>
        <w:spacing w:line="360"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最高限价（如有）：本项目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优惠率(%)进行报价。优惠率报价区间为55(含)</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-100(不含)%，超出此范围视为无效响应。 最终结算=《江苏省医疗服务收费目录》收费标准*(100%-优惠率)。(折扣率=100%-优惠率。举例:如优惠率报价为65%，则折扣率为35%)</w:t>
      </w:r>
      <w:r>
        <w:rPr>
          <w:rFonts w:hint="eastAsia" w:ascii="宋体" w:hAnsi="宋体" w:cs="宋体"/>
          <w:color w:val="auto"/>
          <w:sz w:val="24"/>
          <w:szCs w:val="24"/>
          <w:highlight w:val="none"/>
          <w:lang w:eastAsia="zh-CN"/>
        </w:rPr>
        <w:t xml:space="preserve">。</w:t>
      </w:r>
      <w:r/>
    </w:p>
    <w:p>
      <w:pPr>
        <w:pStyle w:val="671"/>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671"/>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671"/>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671"/>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672"/>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2）具有良好的商业信誉和健全的财务会计制度（提供2023年度</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rPr>
        <w:t xml:space="preserve">财务报告，至少包含资产负债表、利润表，或投标截止时间前六个月内银行出具的资信证明，成立不满一年的无须提供）。</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提供2024年8月至今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668"/>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672"/>
        <w:ind w:left="958" w:firstLine="480"/>
        <w:spacing w:line="360" w:lineRule="auto"/>
        <w:rPr>
          <w:rFonts w:hint="eastAsia" w:ascii="宋体" w:hAnsi="宋体" w:cs="宋体"/>
          <w:b w:val="0"/>
          <w:bCs w:val="0"/>
          <w:color w:val="auto"/>
          <w:sz w:val="24"/>
          <w:szCs w:val="24"/>
          <w:highlight w:val="none"/>
        </w:rPr>
        <w:outlineLvl w:val="2"/>
      </w:pPr>
      <w:r>
        <w:rPr>
          <w:rFonts w:hint="eastAsia" w:ascii="宋体" w:hAnsi="宋体" w:cs="宋体"/>
          <w:b w:val="0"/>
          <w:bCs w:val="0"/>
          <w:color w:val="auto"/>
          <w:sz w:val="24"/>
          <w:szCs w:val="24"/>
          <w:highlight w:val="none"/>
        </w:rPr>
        <w:t xml:space="preserve">本项目专门面向中小企业采购</w:t>
      </w:r>
      <w:r>
        <w:rPr>
          <w:rFonts w:hint="eastAsia" w:ascii="宋体" w:hAnsi="宋体" w:cs="宋体"/>
          <w:b w:val="0"/>
          <w:bCs w:val="0"/>
          <w:color w:val="auto"/>
          <w:sz w:val="24"/>
          <w:szCs w:val="24"/>
          <w:highlight w:val="none"/>
        </w:rPr>
        <w:t xml:space="preserve">，供应商须为符合《关于印发中小企业划型标准规定的通知》(工信部联企业[2011]300号)文件的中小微企业，不接受大型企业参与本项目投标(投标时须提供中小企业声明函)。采购标的所属行业为其他未列明行业，供应商需按照采购文件的要求提供相应的《</w:t>
      </w:r>
      <w:r>
        <w:rPr>
          <w:rFonts w:hint="eastAsia" w:ascii="宋体" w:hAnsi="宋体" w:cs="宋体"/>
          <w:b w:val="0"/>
          <w:bCs w:val="0"/>
          <w:color w:val="auto"/>
          <w:sz w:val="24"/>
          <w:szCs w:val="24"/>
          <w:highlight w:val="none"/>
          <w:lang w:val="en-US" w:eastAsia="zh-CN"/>
        </w:rPr>
        <w:t xml:space="preserve">中小企业声明函</w:t>
      </w:r>
      <w:r>
        <w:rPr>
          <w:rFonts w:hint="eastAsia" w:ascii="宋体" w:hAnsi="宋体" w:cs="宋体"/>
          <w:b w:val="0"/>
          <w:bCs w:val="0"/>
          <w:color w:val="auto"/>
          <w:sz w:val="24"/>
          <w:szCs w:val="24"/>
          <w:highlight w:val="none"/>
        </w:rPr>
        <w:t xml:space="preserve">》。企业标准请参照《关于印发中小企业划型标准规定的通知》(工信部联企业[2011]300号)文件规定自行填写。</w:t>
      </w:r>
      <w:r/>
    </w:p>
    <w:p>
      <w:pPr>
        <w:pStyle w:val="672"/>
        <w:ind w:firstLine="720"/>
        <w:spacing w:line="360" w:lineRule="auto"/>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             </w:t>
      </w:r>
      <w:r/>
    </w:p>
    <w:p>
      <w:pPr>
        <w:pStyle w:val="672"/>
        <w:ind w:left="718" w:firstLine="540"/>
        <w:spacing w:line="360" w:lineRule="auto"/>
        <w:rPr>
          <w:rFonts w:hint="eastAsia" w:ascii="宋体" w:hAnsi="宋体" w:cs="宋体"/>
          <w:b w:val="0"/>
          <w:bCs w:val="0"/>
          <w:color w:val="auto"/>
          <w:sz w:val="24"/>
          <w:szCs w:val="24"/>
          <w:highlight w:val="none"/>
        </w:rPr>
        <w:outlineLvl w:val="1"/>
      </w:pPr>
      <w:r/>
      <w:bookmarkStart w:id="6" w:name="_Toc26697"/>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投标产品若纳入中华人民共和国医疗器械监督管理的，第一类医疗器械须具有备案凭证，第二、三类则应取得监督管理部门颁发的相应的《中华人民共和国医疗器械注册证》及《医疗器械产品注册登记表》，若已办理两证合一则只需提供《医疗器械注册证》。</w:t>
      </w:r>
      <w:r/>
    </w:p>
    <w:p>
      <w:pPr>
        <w:pStyle w:val="672"/>
        <w:ind w:left="718" w:firstLine="540"/>
        <w:spacing w:line="360" w:lineRule="auto"/>
        <w:rPr>
          <w:rFonts w:hint="eastAsia" w:ascii="宋体" w:hAnsi="宋体" w:cs="宋体"/>
          <w:b w:val="0"/>
          <w:bCs w:val="0"/>
          <w:color w:val="auto"/>
          <w:sz w:val="24"/>
          <w:szCs w:val="24"/>
          <w:highlight w:val="none"/>
        </w:rPr>
        <w:outlineLvl w:val="1"/>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投标人为生产企业的，所投产品属第一类医疗器械的，应提供食品药品监督管理部门颁发的《第一类医疗器械生产备案凭证》；所投产品属第二类、第三类医疗器械的，应提供食品药品监督管理部门颁发的《医疗器械生产许可证》或在有效期内的《医疗器械生产企业许可证》。</w:t>
      </w:r>
      <w:r/>
    </w:p>
    <w:p>
      <w:pPr>
        <w:pStyle w:val="672"/>
        <w:ind w:left="718" w:firstLine="540"/>
        <w:spacing w:line="360" w:lineRule="auto"/>
        <w:rPr>
          <w:rFonts w:hint="eastAsia" w:ascii="宋体" w:hAnsi="宋体" w:cs="宋体"/>
          <w:b w:val="0"/>
          <w:bCs w:val="0"/>
          <w:color w:val="auto"/>
          <w:sz w:val="24"/>
          <w:szCs w:val="24"/>
          <w:highlight w:val="none"/>
        </w:rPr>
        <w:outlineLvl w:val="1"/>
      </w:pP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投标人为经营企业的，所投产品属第二类医疗器械的，应提供食品药品监督管理部门颁发的《第二类医疗器械经营备案凭证》；所投产品属第三类医疗器械的，应提供食品药品监督管理部门颁发的《医疗器械经营许可证》。</w:t>
      </w:r>
      <w:r/>
    </w:p>
    <w:p>
      <w:pPr>
        <w:pStyle w:val="672"/>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673"/>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673"/>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rPr>
        <w:t xml:space="preserve">（北京时间）</w:t>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0（北京时间） </w:t>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673"/>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673"/>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673"/>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 潜在投标人访问“苏采云”系统方法：江苏省政府采购网首页-“苏采云”链接。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 采购文件（后缀名为“.kedt”）、供应商操作手册及政府采购客户端 工具可通过“苏采云”系统相应链接进行下载。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 采购代理机构将数据电文形式的采购文件加载至“苏采云”系统，供潜在供应商下载或者查阅。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671"/>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671"/>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674"/>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674"/>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674"/>
        <w:ind w:firstLine="1200"/>
        <w:jc w:val="both"/>
        <w:spacing w:before="0" w:beforeAutospacing="0" w:after="0" w:afterAutospacing="0" w:line="360" w:lineRule="auto"/>
        <w:rPr>
          <w:rFonts w:hint="eastAsia"/>
          <w:b/>
          <w:color w:val="auto"/>
          <w:sz w:val="44"/>
          <w:szCs w:val="44"/>
          <w:highlight w:val="none"/>
        </w:rPr>
        <w:outlineLvl w:val="1"/>
      </w:pPr>
      <w:r>
        <w:rPr>
          <w:rFonts w:hint="eastAsia" w:hAnsi="宋体" w:cs="宋体"/>
          <w:color w:val="auto"/>
          <w:szCs w:val="24"/>
          <w:highlight w:val="none"/>
        </w:rPr>
        <w:t xml:space="preserve">电话： 15189217050                        </w:t>
      </w:r>
      <w:bookmarkStart w:id="8" w:name="_Toc25617"/>
      <w:r/>
      <w:bookmarkEnd w:id="8"/>
      <w:r/>
      <w:bookmarkStart w:id="9" w:name="_Toc1881"/>
      <w:r>
        <w:rPr>
          <w:rFonts w:hint="eastAsia"/>
          <w:b/>
          <w:color w:val="auto"/>
          <w:sz w:val="44"/>
          <w:szCs w:val="44"/>
          <w:highlight w:val="none"/>
        </w:rPr>
        <w:br w:type="page" w:clear="all"/>
      </w:r>
      <w:r/>
    </w:p>
    <w:p>
      <w:pPr>
        <w:pStyle w:val="674"/>
        <w:jc w:val="center"/>
        <w:spacing w:before="0" w:beforeAutospacing="0" w:after="0" w:afterAutospacing="0" w:line="360" w:lineRule="auto"/>
        <w:rPr>
          <w:rFonts w:hint="eastAsia"/>
          <w:b/>
          <w:color w:val="auto"/>
          <w:sz w:val="44"/>
          <w:szCs w:val="44"/>
          <w:highlight w:val="none"/>
        </w:rPr>
        <w:outlineLvl w:val="1"/>
      </w:pPr>
      <w:r>
        <w:rPr>
          <w:rFonts w:hint="eastAsia"/>
          <w:b/>
          <w:color w:val="auto"/>
          <w:sz w:val="44"/>
          <w:szCs w:val="44"/>
          <w:highlight w:val="none"/>
        </w:rPr>
        <w:t xml:space="preserve">第二部分  投标人须知</w:t>
      </w:r>
      <w:bookmarkEnd w:id="9"/>
      <w:r/>
      <w:r/>
    </w:p>
    <w:p>
      <w:pPr>
        <w:pStyle w:val="675"/>
        <w:jc w:val="center"/>
        <w:keepLines w:val="0"/>
        <w:keepNext w:val="0"/>
        <w:spacing w:before="0" w:after="0" w:line="360" w:lineRule="auto"/>
        <w:rPr>
          <w:rFonts w:hint="eastAsia"/>
          <w:color w:val="auto"/>
          <w:highlight w:val="none"/>
        </w:rPr>
      </w:pPr>
      <w:r/>
      <w:bookmarkStart w:id="10" w:name="_Toc514054471"/>
      <w:r/>
      <w:bookmarkStart w:id="11" w:name="_Toc17705"/>
      <w:r>
        <w:rPr>
          <w:rFonts w:hint="eastAsia"/>
          <w:color w:val="auto"/>
          <w:highlight w:val="none"/>
        </w:rPr>
        <w:t xml:space="preserve">投标人须知前附表</w:t>
      </w:r>
      <w:bookmarkEnd w:id="10"/>
      <w:r/>
      <w:bookmarkEnd w:id="11"/>
      <w:r/>
      <w:r/>
    </w:p>
    <w:tbl>
      <w:tblPr>
        <w:tblStyle w:val="663"/>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本项目落实预付款制度，合同签订后，采购人自收到发票后10个工作日内，</w:t>
            </w:r>
            <w:r>
              <w:rPr>
                <w:rFonts w:hint="eastAsia" w:ascii="宋体" w:hAnsi="宋体" w:cs="宋体"/>
                <w:color w:val="auto"/>
                <w:sz w:val="24"/>
                <w:szCs w:val="24"/>
                <w:highlight w:val="none"/>
                <w:lang w:val="en-US" w:eastAsia="zh-CN"/>
              </w:rPr>
              <w:t xml:space="preserve">支付（预算金额*中标折扣率）的30%作为预付款。  （折扣率=100%-优惠率。举例：如优惠率报价为65%，则折扣率为35%）</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其他未列明行业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676"/>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67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676"/>
        <w:spacing w:line="360" w:lineRule="auto"/>
        <w:rPr>
          <w:rFonts w:hint="eastAsia" w:ascii="宋体" w:hAnsi="宋体" w:eastAsia="宋体" w:cs="宋体"/>
          <w:color w:val="auto"/>
          <w:highlight w:val="none"/>
        </w:rPr>
        <w:outlineLvl w:val="1"/>
      </w:pPr>
      <w:r/>
      <w:bookmarkStart w:id="13" w:name="_Toc514054473"/>
      <w:r/>
      <w:bookmarkStart w:id="14" w:name="_Toc21335"/>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676"/>
        <w:spacing w:line="360" w:lineRule="auto"/>
        <w:rPr>
          <w:rFonts w:hint="eastAsia" w:ascii="宋体" w:hAnsi="宋体" w:eastAsia="宋体" w:cs="宋体"/>
          <w:color w:val="auto"/>
          <w:highlight w:val="none"/>
        </w:rPr>
        <w:outlineLvl w:val="1"/>
      </w:pPr>
      <w:r/>
      <w:bookmarkStart w:id="17" w:name="_Toc26908"/>
      <w:r/>
      <w:bookmarkStart w:id="18" w:name="_Toc514054474"/>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w:t>
      </w:r>
      <w:r>
        <w:rPr>
          <w:rFonts w:hint="eastAsia" w:ascii="宋体" w:hAnsi="宋体" w:cs="宋体"/>
          <w:color w:val="auto"/>
          <w:sz w:val="24"/>
          <w:szCs w:val="22"/>
          <w:highlight w:val="none"/>
        </w:rPr>
        <w:t xml:space="preserve">2023年度</w:t>
      </w:r>
      <w:r>
        <w:rPr>
          <w:rFonts w:hint="eastAsia" w:ascii="宋体" w:hAnsi="宋体" w:cs="宋体"/>
          <w:color w:val="auto"/>
          <w:sz w:val="24"/>
          <w:szCs w:val="22"/>
          <w:highlight w:val="none"/>
          <w:lang w:val="en-US" w:eastAsia="zh-CN"/>
        </w:rPr>
        <w:t xml:space="preserve">或2024年度</w:t>
      </w:r>
      <w:r>
        <w:rPr>
          <w:rFonts w:hint="eastAsia" w:ascii="宋体" w:hAnsi="宋体" w:cs="宋体"/>
          <w:color w:val="auto"/>
          <w:sz w:val="24"/>
          <w:highlight w:val="none"/>
        </w:rPr>
        <w:t xml:space="preserve">财务报告，至少包含资产负债表、利润表，或投标截止时间前六个月内银行出具的资信证明，成立不满一年的无须提供）；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提供2024年8月至今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《中小企业声明函》</w:t>
      </w:r>
      <w:r>
        <w:rPr>
          <w:rFonts w:hint="eastAsia" w:ascii="宋体" w:hAnsi="宋体" w:cs="宋体"/>
          <w:bCs/>
          <w:color w:val="auto"/>
          <w:sz w:val="24"/>
          <w:szCs w:val="24"/>
          <w:highlight w:val="none"/>
        </w:rPr>
        <w:t xml:space="preserve">原件扫描件</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676"/>
        <w:spacing w:line="360" w:lineRule="auto"/>
        <w:rPr>
          <w:rFonts w:hint="eastAsia" w:ascii="宋体" w:hAnsi="宋体" w:eastAsia="宋体" w:cs="宋体"/>
          <w:color w:val="auto"/>
          <w:highlight w:val="none"/>
        </w:rPr>
        <w:outlineLvl w:val="1"/>
      </w:pPr>
      <w:r/>
      <w:bookmarkStart w:id="25" w:name="_Toc514054475"/>
      <w:r/>
      <w:bookmarkStart w:id="26" w:name="_Toc26211"/>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20823298"/>
      <w:r/>
      <w:bookmarkEnd w:id="27"/>
      <w:r/>
      <w:bookmarkStart w:id="28" w:name="_Toc16938542"/>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20823300"/>
      <w:r/>
      <w:bookmarkStart w:id="31" w:name="_Toc16938544"/>
      <w:r/>
      <w:bookmarkStart w:id="32" w:name="_Toc513029228"/>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676"/>
        <w:spacing w:line="360" w:lineRule="auto"/>
        <w:rPr>
          <w:rFonts w:hint="eastAsia" w:ascii="宋体" w:hAnsi="宋体" w:eastAsia="宋体" w:cs="宋体"/>
          <w:color w:val="auto"/>
          <w:highlight w:val="none"/>
        </w:rPr>
        <w:outlineLvl w:val="1"/>
      </w:pPr>
      <w:r/>
      <w:bookmarkStart w:id="33" w:name="_Toc11452"/>
      <w:r/>
      <w:bookmarkStart w:id="34" w:name="_Toc514054476"/>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676"/>
        <w:spacing w:line="360" w:lineRule="auto"/>
        <w:rPr>
          <w:rFonts w:hint="eastAsia" w:ascii="宋体" w:hAnsi="宋体" w:eastAsia="宋体" w:cs="宋体"/>
          <w:color w:val="auto"/>
          <w:highlight w:val="none"/>
        </w:rPr>
        <w:outlineLvl w:val="1"/>
      </w:pPr>
      <w:r/>
      <w:bookmarkStart w:id="36" w:name="_Toc29013"/>
      <w:r/>
      <w:bookmarkStart w:id="37" w:name="_Toc514054477"/>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3"/>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未按要求提供相关材料的，不享受相关政策。</w:t>
      </w:r>
      <w:r/>
    </w:p>
    <w:p>
      <w:pPr>
        <w:pStyle w:val="676"/>
        <w:spacing w:line="360" w:lineRule="auto"/>
        <w:rPr>
          <w:rFonts w:hint="eastAsia" w:ascii="宋体" w:hAnsi="宋体" w:eastAsia="宋体" w:cs="宋体"/>
          <w:color w:val="auto"/>
          <w:highlight w:val="none"/>
        </w:rPr>
        <w:outlineLvl w:val="1"/>
      </w:pPr>
      <w:r/>
      <w:bookmarkStart w:id="43" w:name="_Toc81493168"/>
      <w:r/>
      <w:bookmarkStart w:id="44" w:name="_Toc514054478"/>
      <w:r/>
      <w:bookmarkStart w:id="45" w:name="_Toc9744"/>
      <w:r>
        <w:rPr>
          <w:rFonts w:hint="eastAsia" w:ascii="宋体" w:hAnsi="宋体" w:eastAsia="宋体" w:cs="宋体"/>
          <w:color w:val="auto"/>
          <w:highlight w:val="none"/>
        </w:rPr>
        <w:t xml:space="preserve">七、中标及合同签订</w:t>
      </w:r>
      <w:bookmarkEnd w:id="43"/>
      <w:r/>
      <w:bookmarkEnd w:id="44"/>
      <w:r/>
      <w:bookmarkEnd w:id="4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7" w:name="EB3094b551b51c42ca93e0255d679fb06f"/>
      <w:r>
        <w:rPr>
          <w:rFonts w:hint="eastAsia" w:ascii="宋体" w:hAnsi="宋体" w:cs="宋体"/>
          <w:color w:val="auto"/>
          <w:sz w:val="24"/>
          <w:szCs w:val="24"/>
          <w:highlight w:val="none"/>
        </w:rPr>
        <w:t xml:space="preserve">见前附表。 </w:t>
      </w:r>
      <w:bookmarkEnd w:id="47"/>
      <w:r/>
      <w:bookmarkStart w:id="48" w:name="EB0d6067c6e00d44b1ad5603550c455e87"/>
      <w:r>
        <w:rPr>
          <w:rFonts w:hint="eastAsia" w:ascii="宋体" w:hAnsi="宋体" w:cs="宋体"/>
          <w:color w:val="auto"/>
          <w:sz w:val="24"/>
          <w:szCs w:val="24"/>
          <w:highlight w:val="none"/>
        </w:rPr>
        <w:t xml:space="preserve"> </w:t>
      </w:r>
      <w:bookmarkEnd w:id="48"/>
      <w:r/>
      <w:r/>
    </w:p>
    <w:p>
      <w:pPr>
        <w:pStyle w:val="676"/>
        <w:spacing w:line="360" w:lineRule="auto"/>
        <w:rPr>
          <w:rFonts w:hint="eastAsia" w:ascii="宋体" w:hAnsi="宋体" w:eastAsia="宋体" w:cs="宋体"/>
          <w:color w:val="auto"/>
          <w:highlight w:val="none"/>
        </w:rPr>
        <w:outlineLvl w:val="1"/>
      </w:pPr>
      <w:r/>
      <w:bookmarkStart w:id="49" w:name="_Toc514054479"/>
      <w:r/>
      <w:bookmarkStart w:id="50" w:name="_Toc81493169"/>
      <w:r/>
      <w:bookmarkStart w:id="51" w:name="_Toc25599"/>
      <w:r>
        <w:rPr>
          <w:rFonts w:hint="eastAsia" w:ascii="宋体" w:hAnsi="宋体" w:eastAsia="宋体" w:cs="宋体"/>
          <w:color w:val="auto"/>
          <w:highlight w:val="none"/>
        </w:rPr>
        <w:t xml:space="preserve">八、验收及付款</w:t>
      </w:r>
      <w:bookmarkEnd w:id="49"/>
      <w:r/>
      <w:bookmarkEnd w:id="50"/>
      <w:r/>
      <w:bookmarkEnd w:id="5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2" w:name="EBbbb2492ed6b84c9193a6bb6f72a512f3"/>
      <w:r>
        <w:rPr>
          <w:rFonts w:hint="eastAsia" w:ascii="宋体" w:hAnsi="宋体" w:cs="宋体"/>
          <w:color w:val="auto"/>
          <w:sz w:val="24"/>
          <w:highlight w:val="none"/>
        </w:rPr>
        <w:t xml:space="preserve">35.1由采购人组织验收，中标人配合。</w:t>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w:t>
      </w:r>
      <w:r>
        <w:rPr>
          <w:rFonts w:hint="eastAsia" w:ascii="宋体" w:hAnsi="宋体" w:cs="宋体"/>
          <w:color w:val="auto"/>
          <w:sz w:val="24"/>
          <w:szCs w:val="24"/>
          <w:highlight w:val="none"/>
          <w:lang w:val="en-US" w:eastAsia="zh-CN"/>
        </w:rPr>
        <w:t xml:space="preserve">支付（预算金额*中标折扣率）的30%作为预付款。  （折扣率=100%-优惠率。举例：如优惠率报价为65%，则折扣率为35%）</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3"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3"/>
      <w:r>
        <w:rPr>
          <w:rFonts w:hint="eastAsia" w:ascii="宋体" w:hAnsi="宋体" w:cs="宋体"/>
          <w:color w:val="auto"/>
          <w:sz w:val="24"/>
          <w:highlight w:val="none"/>
        </w:rPr>
        <w:t xml:space="preserve"> 采购人按招标文件要求办理采购款支付手续。</w:t>
      </w:r>
      <w:r/>
    </w:p>
    <w:p>
      <w:pPr>
        <w:pStyle w:val="676"/>
        <w:spacing w:line="360" w:lineRule="auto"/>
        <w:rPr>
          <w:rFonts w:hint="eastAsia" w:ascii="宋体" w:hAnsi="宋体" w:eastAsia="宋体" w:cs="宋体"/>
          <w:color w:val="auto"/>
          <w:highlight w:val="none"/>
        </w:rPr>
        <w:outlineLvl w:val="1"/>
      </w:pPr>
      <w:r/>
      <w:bookmarkStart w:id="54" w:name="_Toc514054480"/>
      <w:r/>
      <w:bookmarkStart w:id="55" w:name="_Toc81493170"/>
      <w:r/>
      <w:bookmarkStart w:id="56" w:name="_Toc10945"/>
      <w:r>
        <w:rPr>
          <w:rFonts w:hint="eastAsia" w:ascii="宋体" w:hAnsi="宋体" w:eastAsia="宋体" w:cs="宋体"/>
          <w:color w:val="auto"/>
          <w:highlight w:val="none"/>
        </w:rPr>
        <w:t xml:space="preserve">九、质疑与投诉</w:t>
      </w:r>
      <w:bookmarkEnd w:id="54"/>
      <w:r/>
      <w:bookmarkEnd w:id="55"/>
      <w:r/>
      <w:bookmarkEnd w:id="56"/>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
    </w:p>
    <w:p>
      <w:pPr>
        <w:jc w:val="center"/>
        <w:spacing w:line="360" w:lineRule="auto"/>
        <w:rPr>
          <w:rFonts w:hint="eastAsia"/>
          <w:b/>
          <w:color w:val="auto"/>
          <w:sz w:val="44"/>
          <w:szCs w:val="44"/>
          <w:highlight w:val="none"/>
        </w:rPr>
        <w:outlineLvl w:val="0"/>
      </w:pPr>
      <w:r>
        <w:rPr>
          <w:rFonts w:hint="eastAsia"/>
          <w:b/>
          <w:color w:val="auto"/>
          <w:sz w:val="44"/>
          <w:szCs w:val="44"/>
          <w:highlight w:val="none"/>
        </w:rPr>
        <w:br w:type="page" w:clear="all"/>
      </w:r>
      <w:bookmarkStart w:id="57" w:name="EB4d341233595e4bf8ad7006b4bd78d974"/>
      <w:r/>
      <w:bookmarkEnd w:id="57"/>
      <w:r/>
      <w:bookmarkStart w:id="58" w:name="_Toc22015"/>
      <w:r>
        <w:rPr>
          <w:rFonts w:hint="eastAsia"/>
          <w:b/>
          <w:color w:val="auto"/>
          <w:sz w:val="44"/>
          <w:szCs w:val="44"/>
          <w:highlight w:val="none"/>
        </w:rPr>
        <w:t xml:space="preserve">第三部分  </w:t>
      </w:r>
      <w:bookmarkEnd w:id="58"/>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59" w:name="_Toc4647"/>
      <w:r/>
      <w:bookmarkStart w:id="60" w:name="_Toc24217_WPSOffice_Level2"/>
      <w:r>
        <w:rPr>
          <w:rFonts w:hint="eastAsia"/>
          <w:b/>
          <w:color w:val="auto"/>
          <w:sz w:val="32"/>
          <w:szCs w:val="32"/>
          <w:highlight w:val="none"/>
        </w:rPr>
        <w:t xml:space="preserve">一、资格审查</w:t>
      </w:r>
      <w:bookmarkEnd w:id="59"/>
      <w:r/>
      <w:bookmarkEnd w:id="60"/>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63"/>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1"/>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评标结果。评标委员会按照本办法规定推荐中标候选人，并形成评标报告。</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ind w:firstLine="281"/>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tbl>
      <w:tblPr>
        <w:tblStyle w:val="66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
        <w:gridCol w:w="8064"/>
        <w:gridCol w:w="624"/>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（10分）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价格分</w:t>
            </w:r>
            <w:r>
              <w:rPr>
                <w:rFonts w:hint="eastAsia" w:ascii="宋体" w:hAnsi="宋体" w:cs="宋体"/>
                <w:b w:val="0"/>
                <w:bCs w:val="0"/>
                <w:i w:val="0"/>
                <w:iCs w:val="0"/>
                <w:color w:val="auto"/>
                <w:sz w:val="24"/>
                <w:szCs w:val="24"/>
                <w:highlight w:val="none"/>
                <w:u w:val="none"/>
                <w:lang w:val="en-US" w:eastAsia="zh-CN" w:bidi="ar"/>
              </w:rPr>
              <w:t xml:space="preserve">按照折扣率</w:t>
            </w:r>
            <w:r>
              <w:rPr>
                <w:rFonts w:hint="eastAsia" w:ascii="宋体" w:hAnsi="宋体" w:cs="宋体"/>
                <w:b/>
                <w:bCs/>
                <w:i w:val="0"/>
                <w:iCs w:val="0"/>
                <w:color w:val="auto"/>
                <w:sz w:val="24"/>
                <w:szCs w:val="24"/>
                <w:highlight w:val="none"/>
                <w:u w:val="none"/>
                <w:lang w:val="en-US" w:eastAsia="zh-CN" w:bidi="ar"/>
              </w:rPr>
              <w:t xml:space="preserve">【折扣率=100%-优惠率】</w:t>
            </w:r>
            <w:r>
              <w:rPr>
                <w:rFonts w:hint="eastAsia" w:ascii="宋体" w:hAnsi="宋体" w:cs="宋体"/>
                <w:b w:val="0"/>
                <w:bCs w:val="0"/>
                <w:i w:val="0"/>
                <w:iCs w:val="0"/>
                <w:color w:val="auto"/>
                <w:sz w:val="24"/>
                <w:szCs w:val="24"/>
                <w:highlight w:val="none"/>
                <w:u w:val="none"/>
                <w:lang w:val="en-US" w:eastAsia="zh-CN" w:bidi="ar"/>
              </w:rPr>
              <w:t xml:space="preserve">计算，采用</w:t>
            </w:r>
            <w:r>
              <w:rPr>
                <w:rFonts w:hint="eastAsia" w:ascii="宋体" w:hAnsi="宋体" w:eastAsia="宋体" w:cs="宋体"/>
                <w:b w:val="0"/>
                <w:bCs w:val="0"/>
                <w:i w:val="0"/>
                <w:iCs w:val="0"/>
                <w:color w:val="auto"/>
                <w:sz w:val="24"/>
                <w:szCs w:val="24"/>
                <w:highlight w:val="none"/>
                <w:u w:val="none"/>
                <w:lang w:val="en-US" w:eastAsia="zh-CN" w:bidi="ar"/>
              </w:rPr>
              <w:t xml:space="preserve">低价优先法计算，即满足招标文件要求且投标价格最低的投标折扣率为评标基准价，其价格分为满分。其他投标人的价格分统一按照下列公式计算： </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投标报价得分=（评标基准价/投标折扣率）×10。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说明：</w:t>
            </w:r>
            <w:r>
              <w:rPr>
                <w:rFonts w:hint="eastAsia" w:ascii="宋体" w:hAnsi="宋体" w:cs="宋体"/>
                <w:b/>
                <w:bCs/>
                <w:i w:val="0"/>
                <w:iCs w:val="0"/>
                <w:color w:val="auto"/>
                <w:sz w:val="24"/>
                <w:szCs w:val="24"/>
                <w:highlight w:val="none"/>
                <w:u w:val="none"/>
                <w:lang w:val="en-US" w:eastAsia="zh-CN" w:bidi="ar"/>
              </w:rPr>
              <w:t xml:space="preserve">本项目采用优惠率报价，</w:t>
            </w:r>
            <w:r>
              <w:rPr>
                <w:rFonts w:hint="eastAsia" w:ascii="宋体" w:hAnsi="宋体" w:cs="宋体"/>
                <w:b/>
                <w:bCs/>
                <w:i w:val="0"/>
                <w:iCs w:val="0"/>
                <w:color w:val="auto"/>
                <w:sz w:val="24"/>
                <w:szCs w:val="24"/>
                <w:highlight w:val="none"/>
                <w:u w:val="none"/>
                <w:lang w:val="en-US" w:eastAsia="zh-CN" w:bidi="ar"/>
              </w:rPr>
              <w:t xml:space="preserve">优惠率报价区间为55（含）%—100（不含）%，超出此范围视为无效响应</w:t>
            </w:r>
            <w:r>
              <w:rPr>
                <w:rFonts w:hint="eastAsia" w:ascii="宋体" w:hAnsi="宋体" w:cs="宋体"/>
                <w:b/>
                <w:bCs/>
                <w:i w:val="0"/>
                <w:iCs w:val="0"/>
                <w:color w:val="auto"/>
                <w:sz w:val="24"/>
                <w:szCs w:val="24"/>
                <w:highlight w:val="none"/>
                <w:u w:val="none"/>
                <w:lang w:val="en-US" w:eastAsia="zh-CN" w:bidi="ar"/>
              </w:rPr>
              <w:t xml:space="preserve">。（举例：如优惠率报价为65%，则折扣率为35%）</w:t>
            </w:r>
            <w:r/>
          </w:p>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注：因本项目专门面向中小企业采购，不再执行价格评审优惠的扶持政策。</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技术响应（58分）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投入本项目的软、硬件及服务能力</w:t>
            </w:r>
            <w:r>
              <w:rPr>
                <w:rFonts w:hint="eastAsia" w:ascii="宋体" w:hAnsi="宋体" w:eastAsia="宋体" w:cs="宋体"/>
                <w:color w:val="auto"/>
                <w:sz w:val="24"/>
                <w:szCs w:val="24"/>
                <w:highlight w:val="none"/>
              </w:rPr>
              <w:t xml:space="preserve">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技术参数要求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eastAsia="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lang w:eastAsia="zh-CN"/>
              </w:rPr>
              <w:t xml:space="preserve">分。技术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lang w:eastAsia="zh-CN"/>
              </w:rPr>
              <w:t xml:space="preserve">项）</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，响应招标文件的每项加 </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分，最高得 </w:t>
            </w:r>
            <w:r>
              <w:rPr>
                <w:rFonts w:hint="eastAsia" w:ascii="宋体" w:hAnsi="宋体" w:eastAsia="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lang w:eastAsia="zh-CN"/>
              </w:rPr>
              <w:t xml:space="preserve">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履约能力（6分）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投标人提供自2022年1月1日（含）（以合同签订时间为准）以来类似项目的业绩合同复印件，并加盖投标人公章，有1项得2分，本项最高得6分。</w:t>
            </w:r>
            <w:r>
              <w:rPr>
                <w:rFonts w:hint="eastAsia" w:ascii="宋体" w:hAnsi="宋体" w:eastAsia="宋体" w:cs="宋体"/>
                <w:i w:val="0"/>
                <w:iCs w:val="0"/>
                <w:color w:val="auto"/>
                <w:sz w:val="24"/>
                <w:szCs w:val="24"/>
                <w:highlight w:val="none"/>
                <w:u w:val="none"/>
                <w:lang w:val="en-US" w:eastAsia="zh-CN" w:bidi="ar"/>
              </w:rPr>
              <w:t xml:space="preserve">（投标时须提供合同复印件加盖公章</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合同要素至少包含项目名称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合同双方名称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合同签订时间，合同要素不完整或者内容不清晰无法辨认或提供不全不得分）。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人员配备（5分）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五、人员配备”要求，配备丰富的服务人员团队，至少包括软件开发维护人员、硬件维护人员、后台判读支持服务人员、现场服务人员等。人员团队配备优于本项目需求的得5分，人员团队配备满足本项目需求的得3分，人员团队配备不满足或不提供不得分。</w:t>
            </w:r>
            <w:r/>
          </w:p>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项目建设方案（12分）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投标人根据本项目第四部分中“六、项目建设方案”要求，提供科学合理的项目建设方案，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：①方案总体设计；②</w:t>
            </w:r>
            <w:r>
              <w:rPr>
                <w:rFonts w:hint="eastAsia" w:ascii="宋体" w:hAnsi="宋体" w:eastAsia="宋体" w:cs="宋体"/>
                <w:color w:val="auto"/>
                <w:sz w:val="24"/>
                <w:szCs w:val="24"/>
                <w:highlight w:val="none"/>
                <w:lang w:val="en-US" w:eastAsia="zh-CN"/>
              </w:rPr>
              <w:t xml:space="preserve">硬件保障与服务方案</w:t>
            </w:r>
            <w:r>
              <w:rPr>
                <w:rFonts w:hint="eastAsia" w:ascii="宋体" w:hAnsi="宋体" w:eastAsia="宋体" w:cs="宋体"/>
                <w:color w:val="auto"/>
                <w:sz w:val="24"/>
                <w:szCs w:val="24"/>
                <w:highlight w:val="none"/>
              </w:rPr>
              <w:t xml:space="preserve">；③软件方案</w:t>
            </w:r>
            <w:r>
              <w:rPr>
                <w:rFonts w:hint="eastAsia" w:ascii="宋体" w:hAnsi="宋体" w:eastAsia="宋体" w:cs="宋体"/>
                <w:color w:val="auto"/>
                <w:sz w:val="24"/>
                <w:szCs w:val="24"/>
                <w:highlight w:val="none"/>
                <w:lang w:eastAsia="zh-CN"/>
              </w:rPr>
              <w:t xml:space="preserve">；④后台判读支持服务方案等。</w:t>
            </w:r>
            <w:r/>
          </w:p>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分，每有一项内容缺失的扣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应急预案（</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七、应急预案”要求，针对自然灾害、事故灾难、公共卫生事件等突发不可预见的紧急情况，制订相应的应急预案，包括但不限于：①应急组织机构及职责：②硬件设备故障应急预案③ 软件平台故障应急预案等方面内容。</w:t>
            </w:r>
            <w:r/>
          </w:p>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val="en-US" w:eastAsia="zh-CN"/>
              </w:rPr>
              <w:t xml:space="preserve">方案内容满足以上全部要求且符合本项目实际需求的，得</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分，每有一项内容缺失的扣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分，每有一处内容存在缺陷或不满足要求的扣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val="en-US" w:eastAsia="zh-CN"/>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r>
    </w:tbl>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744"/>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cs="Times New Roman"/>
          <w:color w:val="auto"/>
          <w:sz w:val="24"/>
          <w:szCs w:val="24"/>
        </w:rPr>
        <w:t xml:space="preserve">因本项目专门面向中小企业采购，不再执行价格评审优惠的扶持政策。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.强化政府采购异常低价审查</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采购人应在采购文件中明确评审委员会启动异常低价投标（响应）审查的情形和具体要求，包括：</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（一）评审过程中出现下列情形之一的，评审委员会应当启动异常低价投标（响应）审查程序：</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 &lt; 采购项目预算×50%；</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 &lt; 采购项目最高限价×45%；</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6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rPr>
        <w:outlineLvl w:val="0"/>
      </w:pPr>
      <w:r/>
      <w:bookmarkStart w:id="62" w:name="EBae7807b0bcbc478ea1f502c8f1955356"/>
      <w:r/>
      <w:bookmarkEnd w:id="62"/>
      <w:r/>
      <w:bookmarkStart w:id="63" w:name="_Toc514054481"/>
      <w:r>
        <w:rPr>
          <w:rFonts w:hint="eastAsia"/>
          <w:b/>
          <w:color w:val="auto"/>
          <w:sz w:val="44"/>
          <w:szCs w:val="44"/>
          <w:highlight w:val="none"/>
        </w:rPr>
        <w:br w:type="page" w:clear="all"/>
      </w:r>
      <w:bookmarkStart w:id="64"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3"/>
      <w:r/>
      <w:bookmarkEnd w:id="64"/>
      <w:r/>
      <w:r/>
    </w:p>
    <w:p>
      <w:pPr>
        <w:pStyle w:val="661"/>
        <w:pageBreakBefore w:val="0"/>
        <w:spacing w:line="500" w:lineRule="exact"/>
        <w:rPr>
          <w:rFonts w:hint="eastAsia" w:ascii="宋体" w:hAnsi="宋体" w:eastAsia="宋体" w:cs="宋体"/>
          <w:b/>
          <w:bCs/>
          <w:color w:val="auto"/>
          <w:sz w:val="28"/>
          <w:szCs w:val="28"/>
          <w:highlight w:val="none"/>
        </w:rPr>
      </w:pPr>
      <w:r/>
      <w:bookmarkStart w:id="65" w:name="_Toc514054482"/>
      <w:r/>
      <w:bookmarkStart w:id="66" w:name="_Toc9306"/>
      <w:r>
        <w:rPr>
          <w:rFonts w:hint="eastAsia" w:ascii="宋体" w:hAnsi="宋体" w:eastAsia="宋体" w:cs="宋体"/>
          <w:b/>
          <w:bCs/>
          <w:color w:val="auto"/>
          <w:sz w:val="28"/>
          <w:szCs w:val="28"/>
          <w:highlight w:val="none"/>
        </w:rPr>
        <w:t xml:space="preserve">一、项目概况</w:t>
      </w:r>
      <w:r/>
    </w:p>
    <w:p>
      <w:pPr>
        <w:pStyle w:val="739"/>
        <w:ind w:firstLine="480"/>
        <w:jc w:val="left"/>
        <w:keepLines w:val="0"/>
        <w:keepNext w:val="0"/>
        <w:pageBreakBefore w:val="0"/>
        <w:spacing w:before="105" w:after="105"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医院拟采购远程动态心电监测分析服务3年，服务期内由供应商在医院提供</w:t>
      </w:r>
      <w:r>
        <w:rPr>
          <w:rFonts w:hint="eastAsia" w:ascii="宋体" w:hAnsi="宋体" w:eastAsia="宋体" w:cs="宋体"/>
          <w:color w:val="auto"/>
          <w:sz w:val="24"/>
          <w:szCs w:val="24"/>
        </w:rPr>
        <w:t xml:space="preserve">统一装机和后续服务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包括：建设远程动态心电实时监护系统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含</w:t>
      </w:r>
      <w:r>
        <w:rPr>
          <w:rFonts w:hint="eastAsia" w:ascii="宋体" w:hAnsi="宋体" w:eastAsia="宋体" w:cs="宋体"/>
          <w:color w:val="auto"/>
          <w:sz w:val="24"/>
          <w:szCs w:val="24"/>
        </w:rPr>
        <w:t xml:space="preserve">软件系统及心脏远程实时动态心电记录仪</w:t>
      </w:r>
      <w:r>
        <w:rPr>
          <w:rFonts w:hint="eastAsia" w:ascii="宋体" w:hAnsi="宋体" w:eastAsia="宋体" w:cs="宋体"/>
          <w:color w:val="auto"/>
          <w:sz w:val="24"/>
          <w:szCs w:val="24"/>
          <w:lang w:val="en-US" w:eastAsia="zh-CN"/>
        </w:rPr>
        <w:t xml:space="preserve">等所有软硬件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利用</w:t>
      </w:r>
      <w:r>
        <w:rPr>
          <w:rFonts w:hint="eastAsia" w:ascii="宋体" w:hAnsi="宋体" w:eastAsia="宋体" w:cs="宋体"/>
          <w:color w:val="auto"/>
          <w:sz w:val="24"/>
          <w:szCs w:val="24"/>
          <w:lang w:val="en-US" w:eastAsia="zh-CN"/>
        </w:rPr>
        <w:t xml:space="preserve">移动通信</w:t>
      </w:r>
      <w:r>
        <w:rPr>
          <w:rFonts w:hint="eastAsia" w:ascii="宋体" w:hAnsi="宋体" w:eastAsia="宋体" w:cs="宋体"/>
          <w:color w:val="auto"/>
          <w:sz w:val="24"/>
          <w:szCs w:val="24"/>
        </w:rPr>
        <w:t xml:space="preserve">网络实时传输，</w:t>
      </w:r>
      <w:r>
        <w:rPr>
          <w:rFonts w:hint="eastAsia" w:ascii="宋体" w:hAnsi="宋体" w:eastAsia="宋体" w:cs="宋体"/>
          <w:color w:val="auto"/>
          <w:sz w:val="24"/>
          <w:szCs w:val="24"/>
          <w:lang w:val="en-US" w:eastAsia="zh-CN"/>
        </w:rPr>
        <w:t xml:space="preserve">开展</w:t>
      </w:r>
      <w:r>
        <w:rPr>
          <w:rFonts w:hint="eastAsia" w:ascii="宋体" w:hAnsi="宋体" w:eastAsia="宋体" w:cs="宋体"/>
          <w:color w:val="auto"/>
          <w:sz w:val="24"/>
          <w:szCs w:val="24"/>
        </w:rPr>
        <w:t xml:space="preserve">安全、可靠、快速的</w:t>
      </w:r>
      <w:r>
        <w:rPr>
          <w:rFonts w:hint="eastAsia" w:ascii="宋体" w:hAnsi="宋体" w:eastAsia="宋体" w:cs="宋体"/>
          <w:b/>
          <w:color w:val="auto"/>
          <w:sz w:val="24"/>
          <w:szCs w:val="24"/>
        </w:rPr>
        <w:t xml:space="preserve">7*24小时动态心电数据</w:t>
      </w:r>
      <w:r>
        <w:rPr>
          <w:rFonts w:hint="eastAsia" w:ascii="宋体" w:hAnsi="宋体" w:eastAsia="宋体" w:cs="宋体"/>
          <w:b/>
          <w:color w:val="auto"/>
          <w:sz w:val="24"/>
          <w:szCs w:val="24"/>
          <w:lang w:val="en-US" w:eastAsia="zh-CN"/>
        </w:rPr>
        <w:t xml:space="preserve">监测、分析与</w:t>
      </w:r>
      <w:r>
        <w:rPr>
          <w:rFonts w:hint="eastAsia" w:ascii="宋体" w:hAnsi="宋体" w:eastAsia="宋体" w:cs="宋体"/>
          <w:b/>
          <w:color w:val="auto"/>
          <w:sz w:val="24"/>
          <w:szCs w:val="24"/>
        </w:rPr>
        <w:t xml:space="preserve">预警</w:t>
      </w:r>
      <w:r>
        <w:rPr>
          <w:rFonts w:hint="eastAsia" w:ascii="宋体" w:hAnsi="宋体" w:eastAsia="宋体" w:cs="宋体"/>
          <w:b/>
          <w:color w:val="auto"/>
          <w:sz w:val="24"/>
          <w:szCs w:val="24"/>
          <w:lang w:val="en-US" w:eastAsia="zh-CN"/>
        </w:rPr>
        <w:t xml:space="preserve">服务</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主要开展项目：</w:t>
      </w:r>
      <w:r/>
    </w:p>
    <w:tbl>
      <w:tblPr>
        <w:tblStyle w:val="667"/>
        <w:tblpPr w:horzAnchor="page" w:tblpX="1430" w:vertAnchor="text" w:tblpY="12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0"/>
        <w:gridCol w:w="1310"/>
        <w:gridCol w:w="1716"/>
        <w:gridCol w:w="1716"/>
        <w:gridCol w:w="2100"/>
      </w:tblGrid>
      <w:tr>
        <w:trPr/>
        <w:tc>
          <w:tcPr>
            <w:tcW w:w="253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项目名称</w:t>
            </w:r>
            <w:r/>
          </w:p>
        </w:tc>
        <w:tc>
          <w:tcPr>
            <w:tcW w:w="131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计价单位</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收费标准（元）</w:t>
            </w:r>
            <w:r/>
          </w:p>
        </w:tc>
        <w:tc>
          <w:tcPr>
            <w:tcW w:w="1716" w:type="dxa"/>
            <w:vAlign w:val="center"/>
            <w:textDirection w:val="lrTb"/>
            <w:noWrap w:val="false"/>
          </w:tcPr>
          <w:p>
            <w:pPr>
              <w:ind w:left="-105" w:right="-105"/>
              <w:jc w:val="center"/>
              <w:keepLines w:val="0"/>
              <w:keepNext w:val="0"/>
              <w:pageBreakBefore w:val="0"/>
              <w:spacing w:after="0"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预估数量</w:t>
            </w:r>
            <w:r/>
          </w:p>
        </w:tc>
        <w:tc>
          <w:tcPr>
            <w:tcW w:w="2100" w:type="dxa"/>
            <w:vAlign w:val="center"/>
            <w:textDirection w:val="lrTb"/>
            <w:noWrap w:val="false"/>
          </w:tcPr>
          <w:p>
            <w:pPr>
              <w:ind w:left="-105" w:right="-105"/>
              <w:jc w:val="center"/>
              <w:keepLines w:val="0"/>
              <w:keepNext w:val="0"/>
              <w:pageBreakBefore w:val="0"/>
              <w:spacing w:after="0" w:line="40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 xml:space="preserve">服务费</w:t>
            </w:r>
            <w:r>
              <w:rPr>
                <w:rFonts w:hint="eastAsia" w:ascii="宋体" w:hAnsi="宋体" w:cs="宋体"/>
                <w:b w:val="0"/>
                <w:bCs w:val="0"/>
                <w:i w:val="0"/>
                <w:iCs w:val="0"/>
                <w:color w:val="auto"/>
                <w:sz w:val="24"/>
                <w:szCs w:val="24"/>
                <w:highlight w:val="none"/>
                <w:u w:val="none"/>
                <w:lang w:val="en-US" w:eastAsia="zh-CN" w:bidi="ar"/>
              </w:rPr>
              <w:t xml:space="preserve">优惠率</w:t>
            </w:r>
            <w:r>
              <w:rPr>
                <w:rFonts w:hint="eastAsia" w:ascii="宋体" w:hAnsi="宋体" w:eastAsia="宋体" w:cs="宋体"/>
                <w:b w:val="0"/>
                <w:bCs w:val="0"/>
                <w:color w:val="auto"/>
                <w:sz w:val="24"/>
                <w:szCs w:val="24"/>
                <w:highlight w:val="none"/>
                <w:vertAlign w:val="baseline"/>
                <w:lang w:val="en-US" w:eastAsia="zh-CN"/>
              </w:rPr>
              <w:t xml:space="preserve">（%）</w:t>
            </w:r>
            <w:r/>
          </w:p>
        </w:tc>
      </w:tr>
      <w:tr>
        <w:trPr/>
        <w:tc>
          <w:tcPr>
            <w:tcW w:w="253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十二通道动态心电图</w:t>
            </w:r>
            <w:r/>
          </w:p>
        </w:tc>
        <w:tc>
          <w:tcPr>
            <w:tcW w:w="131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次</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192</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5500例/年</w:t>
            </w:r>
            <w:r/>
          </w:p>
        </w:tc>
        <w:tc>
          <w:tcPr>
            <w:tcW w:w="2100" w:type="dxa"/>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r>
        <w:trPr/>
        <w:tc>
          <w:tcPr>
            <w:tcW w:w="253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心电监测电话传输</w:t>
            </w:r>
            <w:r/>
          </w:p>
        </w:tc>
        <w:tc>
          <w:tcPr>
            <w:tcW w:w="131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日</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96</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5500例/年</w:t>
            </w:r>
            <w:r/>
          </w:p>
        </w:tc>
        <w:tc>
          <w:tcPr>
            <w:tcW w:w="2100"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r>
        <w:trPr/>
        <w:tc>
          <w:tcPr>
            <w:tcW w:w="253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心室晚电位</w:t>
            </w:r>
            <w:r/>
          </w:p>
        </w:tc>
        <w:tc>
          <w:tcPr>
            <w:tcW w:w="131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次</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84</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5500例/年</w:t>
            </w:r>
            <w:r/>
          </w:p>
        </w:tc>
        <w:tc>
          <w:tcPr>
            <w:tcW w:w="2100"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r>
        <w:trPr/>
        <w:tc>
          <w:tcPr>
            <w:tcW w:w="253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心房晚电位</w:t>
            </w:r>
            <w:r/>
          </w:p>
        </w:tc>
        <w:tc>
          <w:tcPr>
            <w:tcW w:w="131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次</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84</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5500例/年</w:t>
            </w:r>
            <w:r/>
          </w:p>
        </w:tc>
        <w:tc>
          <w:tcPr>
            <w:tcW w:w="2100"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r>
        <w:trPr/>
        <w:tc>
          <w:tcPr>
            <w:tcW w:w="253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T波电交替</w:t>
            </w:r>
            <w:r/>
          </w:p>
        </w:tc>
        <w:tc>
          <w:tcPr>
            <w:tcW w:w="131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次</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50</w:t>
            </w:r>
            <w:r/>
          </w:p>
        </w:tc>
        <w:tc>
          <w:tcPr>
            <w:tcW w:w="171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5500例/年</w:t>
            </w:r>
            <w:r/>
          </w:p>
        </w:tc>
        <w:tc>
          <w:tcPr>
            <w:tcW w:w="2100"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bl>
    <w:p>
      <w:pPr>
        <w:jc w:val="left"/>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项目收费价格始终按照江苏省医疗价格规范执行，</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收费标准下调，以新收费标准为基准，乘以</w:t>
      </w:r>
      <w:r>
        <w:rPr>
          <w:rFonts w:hint="eastAsia" w:ascii="宋体" w:hAnsi="宋体" w:eastAsia="宋体" w:cs="宋体"/>
          <w:color w:val="auto"/>
          <w:sz w:val="24"/>
          <w:szCs w:val="24"/>
          <w:lang w:val="en-US" w:eastAsia="zh-CN"/>
        </w:rPr>
        <w:t xml:space="preserve">投标时</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折扣率</w:t>
      </w:r>
      <w:r>
        <w:rPr>
          <w:rFonts w:hint="eastAsia" w:ascii="宋体" w:hAnsi="宋体" w:eastAsia="宋体" w:cs="宋体"/>
          <w:color w:val="auto"/>
          <w:sz w:val="24"/>
          <w:szCs w:val="24"/>
        </w:rPr>
        <w:t xml:space="preserve">作为合同单价；</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rPr>
        <w:t xml:space="preserve">收费标准上调，合同单价</w:t>
      </w:r>
      <w:r>
        <w:rPr>
          <w:rFonts w:hint="eastAsia" w:ascii="宋体" w:hAnsi="宋体" w:eastAsia="宋体" w:cs="宋体"/>
          <w:color w:val="auto"/>
          <w:sz w:val="24"/>
          <w:szCs w:val="24"/>
          <w:lang w:val="en-US" w:eastAsia="zh-CN"/>
        </w:rPr>
        <w:t xml:space="preserve">维持投标时的报价（金额）</w:t>
      </w:r>
      <w:r>
        <w:rPr>
          <w:rFonts w:hint="eastAsia" w:ascii="宋体" w:hAnsi="宋体" w:eastAsia="宋体" w:cs="宋体"/>
          <w:color w:val="auto"/>
          <w:sz w:val="24"/>
          <w:szCs w:val="24"/>
        </w:rPr>
        <w:t xml:space="preserve">不变。</w:t>
      </w:r>
      <w:r/>
    </w:p>
    <w:p>
      <w:pPr>
        <w:ind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预算金额为采购方根据往年数量预估，结算金额以采购方实际采购的数量乘以合同单价为准。</w:t>
      </w:r>
      <w:r/>
    </w:p>
    <w:p>
      <w:pPr>
        <w:ind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报价已包含服务期间由服务单位提供动态心电设备、设备后台判读支持服务等完成本项目可能发生的费用，即包括仓储和运输费用、维修费用、人工费、工具费、培训费、配件费及相关技术支持等一切费用由成交人自理，采购方不再另行支付任何其他费用。</w:t>
      </w:r>
      <w:r/>
    </w:p>
    <w:p>
      <w:pPr>
        <w:ind w:firstLine="480"/>
        <w:jc w:val="left"/>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4、医院可根据临床需求对实际开展项目进行调整。</w:t>
      </w:r>
      <w:r/>
    </w:p>
    <w:p>
      <w:pPr>
        <w:pStyle w:val="661"/>
        <w:pageBreakBefore w:val="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661"/>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pacing w:val="-2"/>
          <w:sz w:val="28"/>
          <w:szCs w:val="28"/>
          <w:highlight w:val="none"/>
          <w:lang w:val="en-US" w:eastAsia="zh-CN"/>
        </w:rPr>
        <w:t xml:space="preserve">技术参数要求</w:t>
      </w:r>
      <w:r>
        <w:rPr>
          <w:rFonts w:hint="eastAsia" w:ascii="宋体" w:hAnsi="宋体" w:eastAsia="宋体" w:cs="宋体"/>
          <w:b/>
          <w:bCs/>
          <w:color w:val="auto"/>
          <w:spacing w:val="-2"/>
          <w:sz w:val="28"/>
          <w:szCs w:val="28"/>
          <w:highlight w:val="none"/>
        </w:rPr>
        <w:t xml:space="preserve">：</w:t>
      </w:r>
      <w:r/>
    </w:p>
    <w:p>
      <w:pPr>
        <w:keepLines w:val="0"/>
        <w:keepNext w:val="0"/>
        <w:pageBreakBefore w:val="0"/>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（一）软硬件技术要求</w:t>
      </w:r>
      <w:r/>
    </w:p>
    <w:p>
      <w:pPr>
        <w:ind w:firstLine="480"/>
        <w:keepLines w:val="0"/>
        <w:keepNext w:val="0"/>
        <w:pageBreakBefore w:val="0"/>
        <w:spacing w:line="360" w:lineRule="auto"/>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1、服务平台终端必须能够保障可以随时随地实时查看监测对象的动态心电指标参数及历史记录，能够与上下级医院医生联网互动，并能预分析动态心电报告；</w:t>
      </w:r>
      <w:r/>
    </w:p>
    <w:p>
      <w:pPr>
        <w:ind w:firstLine="480"/>
        <w:keepLines w:val="0"/>
        <w:keepNext w:val="0"/>
        <w:pageBreakBefore w:val="0"/>
        <w:spacing w:line="360" w:lineRule="auto"/>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2、服务平台需能够支持多人同时在线异地监测及分析数据，具有质控权限管理功能；</w:t>
      </w:r>
      <w:r/>
    </w:p>
    <w:p>
      <w:pPr>
        <w:ind w:firstLine="480"/>
        <w:keepLines w:val="0"/>
        <w:keepNext w:val="0"/>
        <w:pageBreakBefore w:val="0"/>
        <w:spacing w:line="360" w:lineRule="auto"/>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3、终端产品具备远程心电数据实时、同步24小时直播监护功能； </w:t>
      </w:r>
      <w:r/>
    </w:p>
    <w:p>
      <w:pPr>
        <w:ind w:firstLine="480"/>
        <w:keepLines w:val="0"/>
        <w:keepNext w:val="0"/>
        <w:pageBreakBefore w:val="0"/>
        <w:spacing w:line="360" w:lineRule="auto"/>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4、系统平台能同时兼容windows，系统终端兼容Android/windows。</w:t>
      </w:r>
      <w:r/>
    </w:p>
    <w:p>
      <w:pPr>
        <w:ind w:firstLine="480"/>
        <w:keepLines w:val="0"/>
        <w:keepNext w:val="0"/>
        <w:pageBreakBefore w:val="0"/>
        <w:spacing w:line="360" w:lineRule="auto"/>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5、所提供监护服务应具备：实时传输、本地终端算法实时分析诊断预警、定时发送、手动发送、主动获取，支持监护和急救两种监护类型的要求。</w:t>
      </w:r>
      <w:r/>
    </w:p>
    <w:p>
      <w:pP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
          <w:bCs w:val="0"/>
          <w:color w:val="auto"/>
          <w:sz w:val="24"/>
          <w:szCs w:val="24"/>
        </w:rPr>
        <w:t xml:space="preserve">（二）服务</w:t>
      </w:r>
      <w:r>
        <w:rPr>
          <w:rFonts w:hint="eastAsia" w:ascii="宋体" w:hAnsi="宋体" w:eastAsia="宋体" w:cs="宋体"/>
          <w:b/>
          <w:bCs/>
          <w:color w:val="auto"/>
          <w:sz w:val="24"/>
          <w:szCs w:val="24"/>
        </w:rPr>
        <w:t xml:space="preserve">技术要求</w:t>
      </w:r>
      <w:r/>
    </w:p>
    <w:p>
      <w:pPr>
        <w:ind w:firstLine="480"/>
        <w:keepLines w:val="0"/>
        <w:keepNext w:val="0"/>
        <w:pageBreakBefore w:val="0"/>
        <w:spacing w:line="400" w:lineRule="exact"/>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1、提供365d</w:t>
      </w:r>
      <w:r>
        <w:rPr>
          <w:rFonts w:hint="eastAsia" w:ascii="宋体" w:hAnsi="宋体" w:eastAsia="宋体" w:cs="宋体"/>
          <w:bCs/>
          <w:i/>
          <w:iCs/>
          <w:color w:val="auto"/>
          <w:sz w:val="24"/>
          <w:szCs w:val="24"/>
          <w:u w:val="single"/>
          <w:lang w:val="en-US" w:eastAsia="zh-CN"/>
        </w:rPr>
        <w:t xml:space="preserve">×</w:t>
      </w:r>
      <w:r>
        <w:rPr>
          <w:rFonts w:hint="eastAsia" w:ascii="宋体" w:hAnsi="宋体" w:eastAsia="宋体" w:cs="宋体"/>
          <w:bCs/>
          <w:i/>
          <w:iCs/>
          <w:color w:val="auto"/>
          <w:sz w:val="24"/>
          <w:szCs w:val="24"/>
          <w:u w:val="single"/>
        </w:rPr>
        <w:t xml:space="preserve">24h远程心电实时直播监护服务；</w:t>
      </w:r>
      <w:r/>
    </w:p>
    <w:p>
      <w:pPr>
        <w:ind w:firstLine="480"/>
        <w:keepLines w:val="0"/>
        <w:keepNext w:val="0"/>
        <w:pageBreakBefore w:val="0"/>
        <w:spacing w:line="400" w:lineRule="exact"/>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2、提供365d</w:t>
      </w:r>
      <w:r>
        <w:rPr>
          <w:rFonts w:hint="eastAsia" w:ascii="宋体" w:hAnsi="宋体" w:eastAsia="宋体" w:cs="宋体"/>
          <w:bCs/>
          <w:i/>
          <w:iCs/>
          <w:color w:val="auto"/>
          <w:sz w:val="24"/>
          <w:szCs w:val="24"/>
          <w:u w:val="single"/>
          <w:lang w:val="en-US" w:eastAsia="zh-CN"/>
        </w:rPr>
        <w:t xml:space="preserve">×</w:t>
      </w:r>
      <w:r>
        <w:rPr>
          <w:rFonts w:hint="eastAsia" w:ascii="宋体" w:hAnsi="宋体" w:eastAsia="宋体" w:cs="宋体"/>
          <w:bCs/>
          <w:i/>
          <w:iCs/>
          <w:color w:val="auto"/>
          <w:sz w:val="24"/>
          <w:szCs w:val="24"/>
          <w:u w:val="single"/>
        </w:rPr>
        <w:t xml:space="preserve">24h远程预警服务，预警应包含以下类型：导联脱落预警、心肌缺血预警、心肌梗死预警、心率失常预警等；</w:t>
      </w:r>
      <w:r/>
    </w:p>
    <w:p>
      <w:pPr>
        <w:ind w:firstLine="480"/>
        <w:keepLines w:val="0"/>
        <w:keepNext w:val="0"/>
        <w:pageBreakBefore w:val="0"/>
        <w:spacing w:line="400" w:lineRule="exact"/>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3、提供365d</w:t>
      </w:r>
      <w:r>
        <w:rPr>
          <w:rFonts w:hint="eastAsia" w:ascii="宋体" w:hAnsi="宋体" w:eastAsia="宋体" w:cs="宋体"/>
          <w:bCs/>
          <w:i/>
          <w:iCs/>
          <w:color w:val="auto"/>
          <w:sz w:val="24"/>
          <w:szCs w:val="24"/>
          <w:u w:val="single"/>
          <w:lang w:val="en-US" w:eastAsia="zh-CN"/>
        </w:rPr>
        <w:t xml:space="preserve">×</w:t>
      </w:r>
      <w:r>
        <w:rPr>
          <w:rFonts w:hint="eastAsia" w:ascii="宋体" w:hAnsi="宋体" w:eastAsia="宋体" w:cs="宋体"/>
          <w:bCs/>
          <w:i/>
          <w:iCs/>
          <w:color w:val="auto"/>
          <w:sz w:val="24"/>
          <w:szCs w:val="24"/>
          <w:u w:val="single"/>
        </w:rPr>
        <w:t xml:space="preserve">24h全天候心电数据预处理、预分析服务；</w:t>
      </w:r>
      <w:r/>
    </w:p>
    <w:p>
      <w:pPr>
        <w:ind w:firstLine="480"/>
        <w:keepLines w:val="0"/>
        <w:keepNext w:val="0"/>
        <w:pageBreakBefore w:val="0"/>
        <w:spacing w:line="400" w:lineRule="exact"/>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4、提供预警服务在网络信号正常情况下，平均触发预警时间应≤10s；</w:t>
      </w:r>
      <w:r/>
    </w:p>
    <w:p>
      <w:pPr>
        <w:ind w:firstLine="480"/>
        <w:keepLines w:val="0"/>
        <w:keepNext w:val="0"/>
        <w:pageBreakBefore w:val="0"/>
        <w:spacing w:line="400" w:lineRule="exact"/>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5、提供数据预处理服务，从终端设备归还至数据预处理完成时间应≤8h； </w:t>
      </w:r>
      <w:r/>
    </w:p>
    <w:p>
      <w:pPr>
        <w:numPr>
          <w:ilvl w:val="0"/>
          <w:numId w:val="0"/>
        </w:numPr>
        <w:ind w:firstLine="480"/>
        <w:keepLines w:val="0"/>
        <w:keepNext w:val="0"/>
        <w:pageBreakBefore w:val="0"/>
        <w:spacing w:line="400" w:lineRule="exact"/>
        <w:widowControl w:val="off"/>
        <w:rPr>
          <w:rFonts w:hint="eastAsia"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lang w:val="en-US" w:eastAsia="zh-CN"/>
        </w:rPr>
        <w:t xml:space="preserve">6、</w:t>
      </w:r>
      <w:r>
        <w:rPr>
          <w:rFonts w:hint="eastAsia" w:ascii="宋体" w:hAnsi="宋体" w:eastAsia="宋体" w:cs="宋体"/>
          <w:bCs/>
          <w:i/>
          <w:iCs/>
          <w:color w:val="auto"/>
          <w:sz w:val="24"/>
          <w:szCs w:val="24"/>
          <w:u w:val="single"/>
        </w:rPr>
        <w:t xml:space="preserve">提供的远程预警服务应具备电话录音数据留存和管理机制，可以快速回溯预警当时的实际情况。</w:t>
      </w:r>
      <w:r/>
    </w:p>
    <w:p>
      <w:pPr>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（三）项目内容及参数</w:t>
      </w:r>
      <w:r/>
    </w:p>
    <w:p>
      <w:pPr>
        <w:ind w:firstLine="482"/>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1、软件技术要求</w:t>
      </w:r>
      <w:r/>
    </w:p>
    <w:tbl>
      <w:tblPr>
        <w:tblStyle w:val="663"/>
        <w:tblW w:w="97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7"/>
        <w:gridCol w:w="1014"/>
        <w:gridCol w:w="7982"/>
      </w:tblGrid>
      <w:tr>
        <w:trPr>
          <w:jc w:val="center"/>
          <w:trHeight w:val="376"/>
        </w:trPr>
        <w:tc>
          <w:tcPr>
            <w:tcW w:w="777"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gridSpan w:val="2"/>
            <w:tcW w:w="8996" w:type="dxa"/>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远程动态心电实时监护系统</w:t>
            </w:r>
            <w:r/>
          </w:p>
        </w:tc>
      </w:tr>
      <w:tr>
        <w:trPr>
          <w:jc w:val="center"/>
          <w:trHeight w:val="376"/>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基础信息管理</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支持用户自定义添加科室及配置相关信息</w:t>
            </w:r>
            <w:r/>
          </w:p>
        </w:tc>
      </w:tr>
      <w:tr>
        <w:trPr>
          <w:jc w:val="center"/>
          <w:trHeight w:val="376"/>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具备配置软件登陆人员账号及相关权限功能，具有两类角色（操作员和管理员）</w:t>
            </w:r>
            <w:r/>
          </w:p>
        </w:tc>
      </w:tr>
      <w:tr>
        <w:trPr>
          <w:jc w:val="center"/>
          <w:trHeight w:val="376"/>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客户端和网页两种方式添加、编辑患者信息以及发放/归还设备（将患者信息与佩戴设备绑定或解绑），在佩戴前将患者和设备绑定，可确保患者信息和患者心电数据的唯一对应性（绑定生成唯一的合同号），避免数据混淆。同时为方便操作，PC端软件支持快捷发放功能，并支持急救等特定场景通过终端设备快速添加患者信息和发放/归还设备</w:t>
            </w:r>
            <w:r/>
          </w:p>
        </w:tc>
      </w:tr>
      <w:tr>
        <w:trPr>
          <w:jc w:val="center"/>
          <w:trHeight w:val="376"/>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支持通过多种条件查询患者信息</w:t>
            </w:r>
            <w:r/>
          </w:p>
        </w:tc>
      </w:tr>
      <w:tr>
        <w:trPr>
          <w:jc w:val="center"/>
          <w:trHeight w:val="376"/>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具备强制归还功能，方便患者佩戴期间因其他原因终止佩戴；支持对发放信息进行修改，支持通过多种条件查询发放信息</w:t>
            </w:r>
            <w:r/>
          </w:p>
        </w:tc>
      </w:tr>
      <w:tr>
        <w:trPr>
          <w:jc w:val="center"/>
          <w:trHeight w:val="234"/>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支持本地数据一键清除，支持清空所选路径的数据</w:t>
            </w:r>
            <w:r/>
          </w:p>
        </w:tc>
      </w:tr>
      <w:tr>
        <w:trPr>
          <w:jc w:val="center"/>
          <w:trHeight w:val="234"/>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软件采用模块化设计，根据账号权限配置相应的功能模块</w:t>
            </w:r>
            <w:r/>
          </w:p>
        </w:tc>
      </w:tr>
      <w:tr>
        <w:trPr>
          <w:jc w:val="center"/>
          <w:trHeight w:val="234"/>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8</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实时监测</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采用组合监护模式：实时传输、本地实时分析诊断预警、定时发送、手动发送、主动获取，支持监护和急救两种监护类型</w:t>
            </w:r>
            <w:r/>
          </w:p>
        </w:tc>
      </w:tr>
      <w:tr>
        <w:trPr>
          <w:jc w:val="center"/>
          <w:trHeight w:val="463"/>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i/>
                <w:iCs/>
                <w:color w:val="auto"/>
                <w:sz w:val="24"/>
                <w:szCs w:val="24"/>
                <w:highlight w:val="none"/>
                <w:u w:val="single"/>
              </w:rPr>
              <w:t xml:space="preserve">支持</w:t>
            </w:r>
            <w:r>
              <w:rPr>
                <w:rFonts w:hint="eastAsia" w:ascii="宋体" w:hAnsi="宋体" w:eastAsia="宋体" w:cs="宋体"/>
                <w:b/>
                <w:bCs/>
                <w:i/>
                <w:iCs/>
                <w:color w:val="auto"/>
                <w:sz w:val="24"/>
                <w:szCs w:val="24"/>
                <w:highlight w:val="none"/>
                <w:u w:val="single"/>
                <w:lang w:val="en-US" w:eastAsia="zh-CN"/>
              </w:rPr>
              <w:t xml:space="preserve">手机等</w:t>
            </w:r>
            <w:r>
              <w:rPr>
                <w:rFonts w:hint="eastAsia" w:ascii="宋体" w:hAnsi="宋体" w:eastAsia="宋体" w:cs="宋体"/>
                <w:b/>
                <w:bCs/>
                <w:i/>
                <w:iCs/>
                <w:color w:val="auto"/>
                <w:sz w:val="24"/>
                <w:szCs w:val="24"/>
                <w:highlight w:val="none"/>
                <w:u w:val="single"/>
              </w:rPr>
              <w:t xml:space="preserve">智能终端查看实时心电波形</w:t>
            </w:r>
            <w:r/>
          </w:p>
        </w:tc>
      </w:tr>
      <w:tr>
        <w:trPr>
          <w:jc w:val="center"/>
          <w:trHeight w:val="234"/>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支持通过选择机构快速查看正在监护的患者，支持通过姓名、设备号快速查看正在监护的患者, 支持显示多个机构的患者的实时动态心电波形，并可通过权限设置查看下级机构的实时监测患者</w:t>
            </w:r>
            <w:r/>
          </w:p>
        </w:tc>
      </w:tr>
      <w:tr>
        <w:trPr>
          <w:jc w:val="center"/>
          <w:trHeight w:val="234"/>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支持分辨率设置、静音设置和刷新频率设置</w:t>
            </w:r>
            <w:r/>
          </w:p>
        </w:tc>
      </w:tr>
      <w:tr>
        <w:trPr>
          <w:jc w:val="center"/>
          <w:trHeight w:val="144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窗口显示，范围：横向3~10个，纵向3~10个，每页最多显示100个窗口，并支持多页显示，单个窗口显示信息包含患者基本信息（姓名、机构信息、设备号）、单导联实时心电波形、实时心率值，可扩展显示实时血压和血氧饱和度值</w:t>
            </w:r>
            <w:r/>
          </w:p>
        </w:tc>
      </w:tr>
      <w:tr>
        <w:trPr>
          <w:jc w:val="center"/>
          <w:trHeight w:val="1525"/>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i/>
                <w:iCs/>
                <w:color w:val="auto"/>
                <w:sz w:val="24"/>
                <w:szCs w:val="24"/>
                <w:u w:val="single"/>
              </w:rPr>
              <w:t xml:space="preserve">支持自定义显示单个窗口的当前导联（默认为Ⅱ导联，可设置显示其他导联），支持针对异常心率失常事件进行实时声光预警，支持报警阈值设置（可设置心率、高血压、低血压、血氧、S-T段等），具备心电信号直播功能</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支持实时显示单个患者12导联同步心电波形及相应参数(心率、P波、RR间期、S-T段 )，支持实时显示患者的呼吸率、脉率、血压值、血氧饱和度值</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支持通过滚动条拖动和时间检索快速浏览和查询12导联同步心电波形</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支持12导联同步心电波形全程回放、暂停及异常心电图实时打印，支持异常心电图报告抬头自定义</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支持通过实时屏幕墙的简易模式查看监护结束后患者的心电波形</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简易模式支持通过机构名称、患者姓名、设备号、监护状态、监护类型、合同发放时间的等条件查询患者的信息，并支持打印监护结束后的患者异常心电图</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报告工单管理</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支持通过未处理、已处理、已流转、设备号、姓名、发放时间等多种条件查询报告分析工单，支持放弃和取消报告工单</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支持通过手动选单和一键刷单快速获取报告工单</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诊断结论支持鼠标悬停显示，可快速查看本次报告诊断结论和上次报告针对结论，方便用户进行对比</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支持动态心电数据下载和PDF报告查阅</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支持设置工单列表的列显示</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通过不同颜色显示报告工单状态，方便用户快速区分</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支持显示工单流转信息，方面用户查看</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报告查阅与打印</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支持通过设备号、姓名、合同状态（全部、数据不足、未出报告、已出报告）、发放日期等多种条件查询患者监护信息，支持设置监护列表的列显示</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支持快速查阅单个患者动态心电图报告（PDF），支持通过设备号、姓名、发放时间等条件快速查询患者报告，支持选择多个患者报告进行批量打印</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支持A4纸与专用的心电图纸打印，非热敏图纸</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数据不足时，可手动导入心电数据，手动导入时系统会自动查询设备内数据并匹配患者信息和数据，同时导入时进行数据实时压缩，压缩率不大于20%</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通过不同颜色显示患者的数据状态，方便用户快速区分</w:t>
            </w:r>
            <w:r/>
          </w:p>
        </w:tc>
      </w:tr>
      <w:tr>
        <w:trPr>
          <w:jc w:val="center"/>
          <w:trHeight w:val="208"/>
        </w:trPr>
        <w:tc>
          <w:tcPr>
            <w:gridSpan w:val="3"/>
            <w:tcW w:w="9773" w:type="dxa"/>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动态心电分析软件</w:t>
            </w:r>
            <w:r/>
          </w:p>
        </w:tc>
      </w:tr>
      <w:tr>
        <w:trPr>
          <w:jc w:val="center"/>
          <w:trHeight w:val="28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1</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数据处理</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支持波形数据实时转换，提高动态心电报告出具速度</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2</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支持手动导入心电数据功能，在导入时进行数据实时压缩，压缩率不大于20%</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支持上传中间数据(心电数据压缩包和报告分析数据)和分析完成的PDF报告，可实现多级判读</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待机时间结束后，无需归还设备就可分析动态心电数据，缩短出报告时间</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波形查阅</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支持全程浏览所有心电波形，支持通过时间快速检索波形</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支持导联选择功能，不同界面中的显示的导联可自定义调整</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具备标尺功能，可快速测量所选区域波形的时间间期和幅度值</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38</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具备平行尺功能，可准确测定心拍间期和区分间期不一致的心拍</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39</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具备放大镜功能，方便仔细观察波形，快速识别心拍类型</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40</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支持波形走速和增益的设置</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1</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支持即刻打印功能，可打印1分钟单导联波形或所选区域十二导波形</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2</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心电波形支持批量插入、编辑、删除以及片段心电图保存</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3</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综合分析管理</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具备24小时心率趋势图显示功能，框选任意时间段内波形，其他当前页面图会联动显示</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具备24小时栅状图显示功能，支持选择不同时间可快速查看当前心拍</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5</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支持散点图与Demix波形叠加组合功能</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6</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选中散点图或Demix波形可显示对应的心拍列表，并支持批量编辑心拍</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7</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支持心率趋势图、RR间期栅状图、Lorenz RR散点图和心电波形界面同屏显示</w:t>
            </w:r>
            <w:r/>
          </w:p>
        </w:tc>
      </w:tr>
      <w:tr>
        <w:trPr>
          <w:jc w:val="center"/>
          <w:trHeight w:val="21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48</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模板编辑</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支持子模板合并、编辑功能</w:t>
            </w:r>
            <w:r/>
          </w:p>
        </w:tc>
      </w:tr>
      <w:tr>
        <w:trPr>
          <w:jc w:val="center"/>
          <w:trHeight w:val="141"/>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49</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支持子模板心拍数量和与心拍列表显示，方便快速编辑</w:t>
            </w:r>
            <w:r/>
          </w:p>
        </w:tc>
      </w:tr>
      <w:tr>
        <w:trPr>
          <w:jc w:val="center"/>
          <w:trHeight w:val="317"/>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具备Demix反混淆波形叠加分析功能，并提供4个Demix波形模块支持用进行细化编辑</w:t>
            </w:r>
            <w:r/>
          </w:p>
        </w:tc>
      </w:tr>
      <w:tr>
        <w:trPr>
          <w:jc w:val="center"/>
          <w:trHeight w:val="231"/>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1</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支持12导联波形、心拍列表同屏、Demix反混淆波形同屏显示，方便用户编辑</w:t>
            </w:r>
            <w:r/>
          </w:p>
        </w:tc>
      </w:tr>
      <w:tr>
        <w:trPr>
          <w:jc w:val="center"/>
          <w:trHeight w:val="284"/>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2</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事件编辑</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具有室性类异常、室上性类异常、长间歇、最快心率、最慢心率等多个事件自动统计与编辑功能</w:t>
            </w:r>
            <w:r/>
          </w:p>
        </w:tc>
      </w:tr>
      <w:tr>
        <w:trPr>
          <w:jc w:val="center"/>
          <w:trHeight w:val="246"/>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3</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支持对不同事件参数类型按波形相似进行分组，以便用户快速批量操作</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支持房颤、房扑手动编辑功能</w:t>
            </w:r>
            <w:r/>
          </w:p>
        </w:tc>
      </w:tr>
      <w:tr>
        <w:trPr>
          <w:jc w:val="center"/>
          <w:trHeight w:val="208"/>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5</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支持心室晚电位编辑功能</w:t>
            </w:r>
            <w:r/>
          </w:p>
        </w:tc>
      </w:tr>
      <w:tr>
        <w:trPr>
          <w:jc w:val="center"/>
          <w:trHeight w:val="28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6</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直方图</w:t>
            </w:r>
            <w:r/>
          </w:p>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与散点图</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提供二十多种间期的直方图</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7</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可通过直方图进行批量心拍修改</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58</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直方图、心拍列表与波形同屏显示</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59</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支持T-RR 散点图功能</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0</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支持Lorenz散点图</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1</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心率变异性分析</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具有时域分析功能：具有RR间期散点图、RR间期差值散点图NN间期直方图以及HRV时域指标统计功能</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2</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具有频域分析功能：提供5分钟至24小时心率变异性分析数据及图例</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3</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趋势回放</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具有通过趋势波形联动选择12导联心电图功能</w:t>
            </w:r>
            <w:r/>
          </w:p>
        </w:tc>
      </w:tr>
      <w:tr>
        <w:trPr>
          <w:jc w:val="center"/>
          <w:trHeight w:val="28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心率趋势、ST段趋势、12导联波形同屏显示</w:t>
            </w:r>
            <w:r/>
          </w:p>
        </w:tc>
      </w:tr>
      <w:tr>
        <w:trPr>
          <w:jc w:val="center"/>
          <w:trHeight w:val="29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5</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心率失常统计</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通过统计绘制24小时心率失常情况相关图例，包括心率趋势、室性早搏（每小时）、室上性早搏（每小时）、长间歇（每小时）、房扑、房颤（每小时）等</w:t>
            </w:r>
            <w:r/>
          </w:p>
        </w:tc>
      </w:tr>
      <w:tr>
        <w:trPr>
          <w:jc w:val="center"/>
          <w:trHeight w:val="29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6</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支持将分析结果中的心率异常事件按小时统计，方便查看全天不同时间的异常情况</w:t>
            </w:r>
            <w:r/>
          </w:p>
        </w:tc>
      </w:tr>
      <w:tr>
        <w:trPr>
          <w:jc w:val="center"/>
          <w:trHeight w:val="29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7</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自动分析</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支持多导联同步心拍分析功能</w:t>
            </w:r>
            <w:r/>
          </w:p>
        </w:tc>
      </w:tr>
      <w:tr>
        <w:trPr>
          <w:jc w:val="center"/>
          <w:trHeight w:val="29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68</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支持选择任意导联重新进行模板分类功能</w:t>
            </w:r>
            <w:r/>
          </w:p>
        </w:tc>
      </w:tr>
      <w:tr>
        <w:trPr>
          <w:jc w:val="center"/>
          <w:trHeight w:val="29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69</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支持房颤分析和起搏心电图分析</w:t>
            </w:r>
            <w:r/>
          </w:p>
        </w:tc>
      </w:tr>
      <w:tr>
        <w:trPr>
          <w:jc w:val="center"/>
          <w:trHeight w:val="29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0</w:t>
            </w:r>
            <w:r/>
          </w:p>
        </w:tc>
        <w:tc>
          <w:tcPr>
            <w:tcW w:w="1014" w:type="dxa"/>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支持设置室上性早搏提前量、室性早搏提前量、不应期、增益、起始时间和结束时间等参数进行报告分析</w:t>
            </w:r>
            <w:r/>
          </w:p>
        </w:tc>
      </w:tr>
      <w:tr>
        <w:trPr>
          <w:jc w:val="center"/>
          <w:trHeight w:val="34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1</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报告编辑</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支持报告分屏显示、双屏浏览、同步编辑的功能</w:t>
            </w:r>
            <w:r/>
          </w:p>
        </w:tc>
      </w:tr>
      <w:tr>
        <w:trPr>
          <w:jc w:val="center"/>
          <w:trHeight w:val="339"/>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2</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支持报告页的标签索引功能，方便快速浏览报告内容</w:t>
            </w:r>
            <w:r/>
          </w:p>
        </w:tc>
      </w:tr>
      <w:tr>
        <w:trPr>
          <w:jc w:val="center"/>
          <w:trHeight w:val="23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3</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支持一键生成统计结论和诊断结论，并具备字体可调，错别字提醒功能</w:t>
            </w:r>
            <w:r/>
          </w:p>
        </w:tc>
      </w:tr>
      <w:tr>
        <w:trPr>
          <w:jc w:val="center"/>
          <w:trHeight w:val="23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74</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留图功能：自动将最快/最慢心率添加心电片段留图、可手动调整留图片段的起点和终点、支持留图预览与编辑功能、留图心电片段按时间自动排序</w:t>
            </w:r>
            <w:r/>
          </w:p>
        </w:tc>
      </w:tr>
      <w:tr>
        <w:trPr>
          <w:jc w:val="center"/>
          <w:trHeight w:val="23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5</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支持手动编辑心率失常统计表</w:t>
            </w:r>
            <w:r/>
          </w:p>
        </w:tc>
      </w:tr>
      <w:tr>
        <w:trPr>
          <w:jc w:val="center"/>
          <w:trHeight w:val="23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6</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支持通过诊断模板快速添加诊断结论，诊断模板支持自定义编辑</w:t>
            </w:r>
            <w:r/>
          </w:p>
        </w:tc>
      </w:tr>
      <w:tr>
        <w:trPr>
          <w:jc w:val="center"/>
          <w:trHeight w:val="230"/>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7</w:t>
            </w:r>
            <w:r/>
          </w:p>
        </w:tc>
        <w:tc>
          <w:tcPr>
            <w:tcW w:w="1014" w:type="dxa"/>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报告显示可放大或缩小，方便用户查阅</w:t>
            </w:r>
            <w:r/>
          </w:p>
        </w:tc>
      </w:tr>
      <w:tr>
        <w:trPr>
          <w:jc w:val="center"/>
          <w:trHeight w:val="459"/>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78</w:t>
            </w:r>
            <w:r/>
          </w:p>
        </w:tc>
        <w:tc>
          <w:tcPr>
            <w:tcW w:w="101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远程判读</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能够实现异地佩戴、远程判读、本地打印报告的工作模式，有效解决基层医疗机构无Holter判读能力问题</w:t>
            </w:r>
            <w:r/>
          </w:p>
        </w:tc>
      </w:tr>
      <w:tr>
        <w:trPr>
          <w:jc w:val="center"/>
          <w:trHeight w:val="459"/>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79</w:t>
            </w:r>
            <w:r/>
          </w:p>
        </w:tc>
        <w:tc>
          <w:tcPr>
            <w:tcW w:w="101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设置</w:t>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支持波形背景设置，支持波形样式设置</w:t>
            </w:r>
            <w:r/>
          </w:p>
        </w:tc>
      </w:tr>
      <w:tr>
        <w:trPr>
          <w:jc w:val="center"/>
          <w:trHeight w:val="459"/>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0</w:t>
            </w:r>
            <w:r/>
          </w:p>
        </w:tc>
        <w:tc>
          <w:tcPr>
            <w:tcW w:w="1014" w:type="dxa"/>
            <w:vAlign w:val="center"/>
            <w:vMerge w:val="continue"/>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支持模板颜色设置，包括背景颜色、选中时颜色、未选时颜色等</w:t>
            </w:r>
            <w:r/>
          </w:p>
        </w:tc>
      </w:tr>
      <w:tr>
        <w:trPr>
          <w:jc w:val="center"/>
          <w:trHeight w:val="459"/>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1</w:t>
            </w:r>
            <w:r/>
          </w:p>
        </w:tc>
        <w:tc>
          <w:tcPr>
            <w:tcW w:w="1014" w:type="dxa"/>
            <w:vAlign w:val="center"/>
            <w:vMerge w:val="continue"/>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支持对侧边栏、报告页码、使用Ctrl键复选心拍列表、报告结论错别字检测、报告心电片段平均心率等可选开启显示或关闭显示</w:t>
            </w:r>
            <w:r/>
          </w:p>
        </w:tc>
      </w:tr>
      <w:tr>
        <w:trPr>
          <w:jc w:val="center"/>
          <w:trHeight w:val="422"/>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2</w:t>
            </w:r>
            <w:r/>
          </w:p>
        </w:tc>
        <w:tc>
          <w:tcPr>
            <w:tcW w:w="1014" w:type="dxa"/>
            <w:vAlign w:val="center"/>
            <w:vMerge w:val="continue"/>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支持模块设置，可配置各个分析模块是否显示</w:t>
            </w:r>
            <w:r/>
          </w:p>
        </w:tc>
      </w:tr>
      <w:tr>
        <w:trPr>
          <w:jc w:val="center"/>
          <w:trHeight w:val="285"/>
        </w:trPr>
        <w:tc>
          <w:tcPr>
            <w:tcW w:w="77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3</w:t>
            </w:r>
            <w:r/>
          </w:p>
        </w:tc>
        <w:tc>
          <w:tcPr>
            <w:tcW w:w="1014" w:type="dxa"/>
            <w:vAlign w:val="center"/>
            <w:vMerge w:val="continue"/>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98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支持中、英文两种语言</w:t>
            </w:r>
            <w:r/>
          </w:p>
        </w:tc>
      </w:tr>
    </w:tbl>
    <w:p>
      <w:pPr>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2、硬件技术要求</w:t>
      </w:r>
      <w:r/>
    </w:p>
    <w:tbl>
      <w:tblPr>
        <w:tblStyle w:val="663"/>
        <w:tblpPr w:horzAnchor="margin" w:tblpXSpec="center" w:vertAnchor="text" w:tblpY="293" w:leftFromText="180" w:topFromText="0" w:rightFromText="180" w:bottomFromText="0"/>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2"/>
        <w:gridCol w:w="9002"/>
      </w:tblGrid>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r>
      <w:tr>
        <w:trPr>
          <w:jc w:val="center"/>
        </w:trPr>
        <w:tc>
          <w:tcPr>
            <w:gridSpan w:val="2"/>
            <w:tcW w:w="9634" w:type="dxa"/>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一、动态心电监护仪 (技术参数与配置)</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导联体系：wilson体系、10电极</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导联：同步十二导联，Ⅰ、Ⅱ、Ⅲ、aVR、aVL、aVF、V1、V2、V3、V4、V5、V6</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采样精度</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16bit</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采样率：500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8000点</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标准灵敏度：10mm/mV±5%</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噪声电平≤30μV</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共模抑制比≥80dB</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低频特性：时间常数不小于3.2s</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扫描速度：25mm/s±5%</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耐极化电压：±300mV的直流极化电压，灵敏度变化不大于±10%</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最小检测信号：50 μV p-p</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产品安全类型:内部电源CF型应用部分</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输入阻抗≥2.5 MΩ</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幅频特性：0.67Hz~40Hz</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输入</w:t>
            </w:r>
            <w:r>
              <w:rPr>
                <w:rFonts w:hint="eastAsia" w:ascii="宋体" w:hAnsi="宋体" w:eastAsia="宋体" w:cs="宋体"/>
                <w:color w:val="auto"/>
                <w:sz w:val="24"/>
                <w:szCs w:val="24"/>
                <w:highlight w:val="none"/>
              </w:rPr>
              <w:t xml:space="preserve">方式：浮地</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监护仪内置电池工作时长</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24小时</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电池：可充电锂电池，充电次数</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500次</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屏幕尺寸≥4.3寸全触控电容屏，分辨率≥480×800</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数据接口：USB2.0</w:t>
            </w:r>
            <w:r>
              <w:rPr>
                <w:rFonts w:hint="eastAsia" w:ascii="宋体" w:hAnsi="宋体" w:eastAsia="宋体" w:cs="宋体"/>
                <w:color w:val="auto"/>
                <w:sz w:val="24"/>
                <w:szCs w:val="24"/>
                <w:lang w:val="en-US" w:eastAsia="zh-CN"/>
              </w:rPr>
              <w:t xml:space="preserve">以上</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无线功能：4G</w:t>
            </w:r>
            <w:r>
              <w:rPr>
                <w:rFonts w:hint="eastAsia" w:ascii="宋体" w:hAnsi="宋体" w:eastAsia="宋体" w:cs="宋体"/>
                <w:color w:val="auto"/>
                <w:sz w:val="24"/>
                <w:szCs w:val="24"/>
                <w:lang w:val="en-US" w:eastAsia="zh-CN"/>
              </w:rPr>
              <w:t xml:space="preserve">或5G移动通信网络</w:t>
            </w:r>
            <w:r>
              <w:rPr>
                <w:rFonts w:hint="eastAsia" w:ascii="宋体" w:hAnsi="宋体" w:eastAsia="宋体" w:cs="宋体"/>
                <w:color w:val="auto"/>
                <w:sz w:val="24"/>
                <w:szCs w:val="24"/>
              </w:rPr>
              <w:t xml:space="preserve">、WiFi、蓝牙</w:t>
            </w:r>
            <w:r/>
          </w:p>
        </w:tc>
      </w:tr>
      <w:tr>
        <w:trPr>
          <w:jc w:val="center"/>
          <w:trHeight w:val="469"/>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i/>
                <w:iCs/>
                <w:color w:val="auto"/>
                <w:sz w:val="24"/>
                <w:szCs w:val="24"/>
                <w:u w:val="single"/>
              </w:rPr>
              <w:t xml:space="preserve">传输方式：24小时实时传输</w:t>
            </w:r>
            <w:r>
              <w:rPr>
                <w:rFonts w:hint="eastAsia" w:ascii="宋体" w:hAnsi="宋体" w:eastAsia="宋体" w:cs="宋体"/>
                <w:b/>
                <w:bCs/>
                <w:i/>
                <w:iCs/>
                <w:color w:val="auto"/>
                <w:sz w:val="24"/>
                <w:szCs w:val="24"/>
                <w:u w:val="single"/>
                <w:shd w:val="clear" w:color="auto" w:fill="ffffff" w:themeFill="background1"/>
              </w:rPr>
              <w:t xml:space="preserve">，</w:t>
            </w:r>
            <w:r>
              <w:rPr>
                <w:rFonts w:hint="eastAsia" w:ascii="宋体" w:hAnsi="宋体" w:eastAsia="宋体" w:cs="宋体"/>
                <w:b/>
                <w:bCs/>
                <w:i/>
                <w:iCs/>
                <w:color w:val="auto"/>
                <w:sz w:val="24"/>
                <w:szCs w:val="24"/>
                <w:u w:val="single"/>
                <w:shd w:val="clear" w:color="auto" w:fill="ffffff" w:themeFill="background1"/>
                <w:lang w:val="en-US" w:eastAsia="zh-CN"/>
              </w:rPr>
              <w:t xml:space="preserve">最长</w:t>
            </w:r>
            <w:r>
              <w:rPr>
                <w:rFonts w:hint="eastAsia" w:ascii="宋体" w:hAnsi="宋体" w:eastAsia="宋体" w:cs="宋体"/>
                <w:b/>
                <w:bCs/>
                <w:i/>
                <w:iCs/>
                <w:color w:val="auto"/>
                <w:sz w:val="24"/>
                <w:szCs w:val="24"/>
                <w:u w:val="single"/>
                <w:shd w:val="clear" w:color="auto" w:fill="ffffff" w:themeFill="background1"/>
              </w:rPr>
              <w:t xml:space="preserve">可连续佩戴7天</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存储容量≥24小时×7天</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报警类型：导联脱落、心率异常、电量检测报警、网络信号中断等</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波形通道配置：1-12道可配置</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断点续传：心电数据支持断点续传</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时间同步：自动时间校准，网络同步</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数据导出：同步线导出、SD卡通过读卡器导出</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标配存储</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3G (支持Micro SD存储卡扩展)</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心率测量范围：30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300bpm，精度：不超过输入心率的±10%或5bpm中较大者</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报警功能：心率失常报警范围：上限范围：=100bpm；下限范围：=50bpm；上下限可调整</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报警启动时间：本机=10s</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实时网络发送：支持24小时实时发送</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一键求助：发送求助信息</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34</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手动发送：手动触发发送当前片段数据</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冻结波形：冻结当前屏幕显示的波形</w:t>
            </w:r>
            <w:r/>
          </w:p>
        </w:tc>
      </w:tr>
      <w:tr>
        <w:trPr>
          <w:jc w:val="center"/>
        </w:trPr>
        <w:tc>
          <w:tcPr>
            <w:tcW w:w="63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36</w:t>
            </w:r>
            <w:r/>
          </w:p>
        </w:tc>
        <w:tc>
          <w:tcPr>
            <w:tcW w:w="9002"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导联选择：选择屏幕显示的导联，支持“肢导”和“胸导”快速选择，或者选择任意导联组合。</w:t>
            </w:r>
            <w:r/>
          </w:p>
        </w:tc>
      </w:tr>
    </w:tbl>
    <w:p>
      <w:pPr>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1"/>
          <w:numId w:val="0"/>
        </w:numPr>
        <w:ind w:left="0" w:right="0" w:firstLine="0"/>
        <w:jc w:val="both"/>
        <w:keepLines w:val="0"/>
        <w:keepNext w:val="0"/>
        <w:pageBreakBefore w:val="0"/>
        <w:spacing w:before="0" w:after="0" w:line="360" w:lineRule="auto"/>
        <w:widowControl w:val="off"/>
        <w:tabs>
          <w:tab w:val="left" w:pos="6352" w:leader="none"/>
        </w:tabs>
        <w:rPr>
          <w:rFonts w:hint="eastAsia" w:ascii="宋体" w:hAnsi="宋体" w:eastAsia="宋体" w:cs="宋体"/>
          <w:b/>
          <w:bCs w:val="0"/>
          <w:i/>
          <w:iCs/>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auto"/>
          <w:sz w:val="24"/>
          <w:highlight w:val="none"/>
          <w:u w:val="single"/>
        </w:rPr>
      </w:r>
      <w:r/>
    </w:p>
    <w:p>
      <w:pPr>
        <w:pStyle w:val="680"/>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681"/>
          <w:rFonts w:hint="eastAsia" w:ascii="宋体" w:hAnsi="宋体" w:eastAsia="宋体" w:cs="宋体"/>
          <w:b w:val="0"/>
          <w:bCs/>
          <w:i/>
          <w:iCs/>
          <w:color w:val="auto"/>
          <w:sz w:val="24"/>
          <w:szCs w:val="24"/>
          <w:highlight w:val="none"/>
          <w:u w:val="single"/>
        </w:rPr>
      </w:pPr>
      <w:r>
        <w:rPr>
          <w:rStyle w:val="681"/>
          <w:rFonts w:hint="eastAsia" w:ascii="宋体" w:hAnsi="宋体" w:eastAsia="宋体" w:cs="宋体"/>
          <w:b w:val="0"/>
          <w:bCs/>
          <w:i/>
          <w:iCs/>
          <w:color w:val="auto"/>
          <w:sz w:val="24"/>
          <w:szCs w:val="24"/>
          <w:highlight w:val="none"/>
          <w:u w:val="single"/>
        </w:rPr>
        <w:t xml:space="preserve">1、</w:t>
      </w:r>
      <w:r>
        <w:rPr>
          <w:rStyle w:val="681"/>
          <w:rFonts w:hint="eastAsia" w:ascii="宋体" w:hAnsi="宋体" w:eastAsia="宋体" w:cs="宋体"/>
          <w:b w:val="0"/>
          <w:bCs/>
          <w:i/>
          <w:iCs/>
          <w:color w:val="auto"/>
          <w:sz w:val="24"/>
          <w:szCs w:val="24"/>
          <w:highlight w:val="none"/>
          <w:u w:val="single"/>
          <w:lang w:val="en-US"/>
        </w:rPr>
        <w:t xml:space="preserve">服务期</w:t>
      </w:r>
      <w:r>
        <w:rPr>
          <w:rStyle w:val="681"/>
          <w:rFonts w:hint="eastAsia" w:ascii="宋体" w:hAnsi="宋体" w:eastAsia="宋体" w:cs="宋体"/>
          <w:b w:val="0"/>
          <w:bCs/>
          <w:i/>
          <w:iCs/>
          <w:color w:val="auto"/>
          <w:sz w:val="24"/>
          <w:szCs w:val="24"/>
          <w:highlight w:val="none"/>
          <w:u w:val="single"/>
          <w:lang w:val="zh-CN"/>
        </w:rPr>
        <w:t xml:space="preserve">：</w:t>
      </w:r>
      <w:r>
        <w:rPr>
          <w:rStyle w:val="681"/>
          <w:rFonts w:hint="eastAsia" w:ascii="宋体" w:hAnsi="宋体" w:eastAsia="宋体" w:cs="宋体"/>
          <w:b w:val="0"/>
          <w:bCs/>
          <w:i/>
          <w:iCs/>
          <w:color w:val="auto"/>
          <w:sz w:val="24"/>
          <w:szCs w:val="24"/>
          <w:highlight w:val="none"/>
          <w:u w:val="single"/>
          <w:lang w:val="en-US"/>
        </w:rPr>
        <w:t xml:space="preserve">3年</w:t>
      </w:r>
      <w:r>
        <w:rPr>
          <w:rStyle w:val="681"/>
          <w:rFonts w:hint="eastAsia" w:ascii="宋体" w:hAnsi="宋体" w:eastAsia="宋体" w:cs="宋体"/>
          <w:b w:val="0"/>
          <w:bCs/>
          <w:i/>
          <w:iCs/>
          <w:color w:val="auto"/>
          <w:sz w:val="24"/>
          <w:szCs w:val="24"/>
          <w:highlight w:val="none"/>
          <w:u w:val="single"/>
        </w:rPr>
        <w:t xml:space="preserve">。</w:t>
      </w:r>
      <w:r/>
    </w:p>
    <w:p>
      <w:pPr>
        <w:ind w:firstLine="482"/>
        <w:keepLines w:val="0"/>
        <w:keepNext w:val="0"/>
        <w:pageBreakBefore w:val="0"/>
        <w:spacing w:line="360" w:lineRule="auto"/>
        <w:widowControl w:val="off"/>
        <w:rPr>
          <w:rStyle w:val="681"/>
          <w:rFonts w:hint="eastAsia" w:ascii="宋体" w:hAnsi="宋体" w:eastAsia="宋体" w:cs="宋体"/>
          <w:b w:val="0"/>
          <w:bCs/>
          <w:i/>
          <w:iCs/>
          <w:color w:val="auto"/>
          <w:sz w:val="24"/>
          <w:szCs w:val="24"/>
          <w:highlight w:val="none"/>
          <w:u w:val="single"/>
        </w:rPr>
      </w:pPr>
      <w:r>
        <w:rPr>
          <w:rStyle w:val="681"/>
          <w:rFonts w:hint="eastAsia" w:ascii="宋体" w:hAnsi="宋体" w:eastAsia="宋体" w:cs="宋体"/>
          <w:b w:val="0"/>
          <w:bCs/>
          <w:i/>
          <w:iCs/>
          <w:color w:val="auto"/>
          <w:sz w:val="24"/>
          <w:szCs w:val="24"/>
          <w:highlight w:val="none"/>
          <w:u w:val="single"/>
        </w:rPr>
        <w:t xml:space="preserve">2、</w:t>
      </w:r>
      <w:r>
        <w:rPr>
          <w:rStyle w:val="681"/>
          <w:rFonts w:hint="eastAsia" w:ascii="宋体" w:hAnsi="宋体" w:eastAsia="宋体" w:cs="宋体"/>
          <w:b w:val="0"/>
          <w:bCs/>
          <w:i/>
          <w:iCs/>
          <w:color w:val="auto"/>
          <w:sz w:val="24"/>
          <w:szCs w:val="24"/>
          <w:highlight w:val="none"/>
          <w:u w:val="single"/>
          <w:lang w:val="en-US"/>
        </w:rPr>
        <w:t xml:space="preserve">服务</w:t>
      </w:r>
      <w:r>
        <w:rPr>
          <w:rStyle w:val="681"/>
          <w:rFonts w:hint="eastAsia" w:ascii="宋体" w:hAnsi="宋体" w:eastAsia="宋体" w:cs="宋体"/>
          <w:b w:val="0"/>
          <w:bCs/>
          <w:i/>
          <w:iCs/>
          <w:color w:val="auto"/>
          <w:sz w:val="24"/>
          <w:szCs w:val="24"/>
          <w:highlight w:val="none"/>
          <w:u w:val="single"/>
          <w:lang w:val="zh-CN"/>
        </w:rPr>
        <w:t xml:space="preserve">地点：</w:t>
      </w:r>
      <w:r>
        <w:rPr>
          <w:rStyle w:val="681"/>
          <w:rFonts w:hint="eastAsia" w:ascii="宋体" w:hAnsi="宋体" w:eastAsia="宋体" w:cs="宋体"/>
          <w:b w:val="0"/>
          <w:bCs/>
          <w:i/>
          <w:iCs/>
          <w:color w:val="auto"/>
          <w:sz w:val="24"/>
          <w:szCs w:val="24"/>
          <w:highlight w:val="none"/>
          <w:u w:val="single"/>
          <w:lang w:val="en-US"/>
        </w:rPr>
        <w:t xml:space="preserve">采购人</w:t>
      </w:r>
      <w:r>
        <w:rPr>
          <w:rStyle w:val="681"/>
          <w:rFonts w:hint="eastAsia" w:ascii="宋体" w:hAnsi="宋体" w:eastAsia="宋体" w:cs="宋体"/>
          <w:b w:val="0"/>
          <w:bCs/>
          <w:i/>
          <w:iCs/>
          <w:color w:val="auto"/>
          <w:sz w:val="24"/>
          <w:szCs w:val="24"/>
          <w:highlight w:val="none"/>
          <w:u w:val="single"/>
        </w:rPr>
        <w:t xml:space="preserve">指定地点。</w:t>
      </w:r>
      <w:r/>
    </w:p>
    <w:p>
      <w:pPr>
        <w:ind w:firstLine="482"/>
        <w:jc w:val="both"/>
        <w:keepLines w:val="0"/>
        <w:keepNext w:val="0"/>
        <w:pageBreakBefore w:val="0"/>
        <w:spacing w:line="360" w:lineRule="auto"/>
        <w:widowControl w:val="off"/>
        <w:rPr>
          <w:rStyle w:val="681"/>
          <w:rFonts w:hint="eastAsia" w:ascii="宋体" w:hAnsi="宋体" w:eastAsia="宋体" w:cs="宋体"/>
          <w:b w:val="0"/>
          <w:bCs/>
          <w:i/>
          <w:iCs/>
          <w:color w:val="auto"/>
          <w:sz w:val="24"/>
          <w:szCs w:val="24"/>
          <w:highlight w:val="none"/>
          <w:u w:val="single"/>
          <w:lang w:val="en-US" w:eastAsia="zh-CN"/>
        </w:rPr>
      </w:pPr>
      <w:r>
        <w:rPr>
          <w:rStyle w:val="681"/>
          <w:rFonts w:hint="eastAsia" w:ascii="宋体" w:hAnsi="宋体" w:cs="宋体"/>
          <w:b/>
          <w:i/>
          <w:iCs/>
          <w:color w:val="auto"/>
          <w:sz w:val="24"/>
          <w:szCs w:val="24"/>
          <w:highlight w:val="none"/>
          <w:u w:val="single"/>
          <w:lang w:val="en-US" w:eastAsia="zh-CN"/>
        </w:rPr>
        <w:t xml:space="preserve">3</w:t>
      </w:r>
      <w:r>
        <w:rPr>
          <w:rStyle w:val="681"/>
          <w:rFonts w:hint="eastAsia" w:ascii="宋体" w:hAnsi="宋体" w:eastAsia="宋体" w:cs="宋体"/>
          <w:b/>
          <w:i/>
          <w:iCs/>
          <w:color w:val="auto"/>
          <w:sz w:val="24"/>
          <w:szCs w:val="24"/>
          <w:highlight w:val="none"/>
          <w:u w:val="single"/>
          <w:lang w:val="en-US" w:eastAsia="zh-CN"/>
        </w:rPr>
        <w:t xml:space="preserve">、付款方式：</w:t>
      </w:r>
      <w:r>
        <w:rPr>
          <w:rStyle w:val="681"/>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w:t>
      </w:r>
      <w:r>
        <w:rPr>
          <w:rStyle w:val="681"/>
          <w:rFonts w:hint="eastAsia" w:ascii="宋体" w:hAnsi="宋体" w:eastAsia="宋体" w:cs="宋体"/>
          <w:b w:val="0"/>
          <w:bCs/>
          <w:i/>
          <w:iCs/>
          <w:color w:val="auto"/>
          <w:sz w:val="24"/>
          <w:szCs w:val="24"/>
          <w:highlight w:val="none"/>
          <w:u w:val="single"/>
          <w:lang w:val="en-US" w:eastAsia="zh-CN"/>
        </w:rPr>
        <w:t xml:space="preserve">支付（预算金额*中标折扣率）的30%作为预付款。</w:t>
      </w:r>
      <w:r>
        <w:rPr>
          <w:rStyle w:val="681"/>
          <w:rFonts w:hint="eastAsia" w:ascii="宋体" w:hAnsi="宋体" w:eastAsia="宋体" w:cs="宋体"/>
          <w:b w:val="0"/>
          <w:bCs/>
          <w:i/>
          <w:iCs/>
          <w:color w:val="auto"/>
          <w:sz w:val="24"/>
          <w:szCs w:val="24"/>
          <w:highlight w:val="none"/>
          <w:u w:val="single"/>
          <w:lang w:val="en-US" w:eastAsia="zh-CN"/>
        </w:rPr>
        <w:t xml:space="preserve">后续每月结算一次，成交投标人每月向采购人提供上个月的实际服务人数及服务价格的费用发票，采购人在收到资料并审核通过后按实付款（无息）。如成交投标人提供虚假票据，采购人有权拒付并终止合同。（本项目落实预付款制度，预付款比例为</w:t>
      </w:r>
      <w:r>
        <w:rPr>
          <w:rStyle w:val="681"/>
          <w:rFonts w:hint="eastAsia" w:ascii="宋体" w:hAnsi="宋体" w:eastAsia="宋体" w:cs="宋体"/>
          <w:b w:val="0"/>
          <w:bCs/>
          <w:i/>
          <w:iCs/>
          <w:color w:val="auto"/>
          <w:sz w:val="24"/>
          <w:szCs w:val="24"/>
          <w:highlight w:val="none"/>
          <w:u w:val="single"/>
          <w:lang w:val="en-US" w:eastAsia="zh-CN"/>
        </w:rPr>
        <w:t xml:space="preserve">（预算金额*中标折扣率）的30%</w:t>
      </w:r>
      <w:r>
        <w:rPr>
          <w:rStyle w:val="681"/>
          <w:rFonts w:hint="eastAsia" w:ascii="宋体" w:hAnsi="宋体" w:eastAsia="宋体" w:cs="宋体"/>
          <w:b w:val="0"/>
          <w:bCs/>
          <w:i/>
          <w:iCs/>
          <w:color w:val="auto"/>
          <w:sz w:val="24"/>
          <w:szCs w:val="24"/>
          <w:highlight w:val="none"/>
          <w:u w:val="single"/>
          <w:lang w:val="en-US" w:eastAsia="zh-CN"/>
        </w:rPr>
        <w:t xml:space="preserve">。在签订合同时，中标供应商明确书面表示无需预付款或者主动要求降低预付款比例的，采购人可就预付款比例作相应调整）</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4、中标单位须承诺将投入本项目的动态心电监护仪不少于25台。后期可根据采购方需求，增加相应设备，单台报价不超过10000元。</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5、中标单位确认所提供的所有产品（如属医疗器械）已经取得相关的注册证，且该等产品的质量符合国家规定的强制性标准，符合国家有关法律法规的环节。</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6、交货及安装要求：所投产品生产厂家直接发货至采购单位指定地点，原厂工程师上门负责安装调试工作。</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7、中标单位须承诺所提供的后台判读支持服务，常规报告应在8个小时内给到院方；院方提出的需优先处理的报告应在1小时内给到院方。且中标单位应对提供给的数据负责。</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8、免费质保期：中标单位所提供的硬件产品主机、其他零配件、软件等一切产品在合同约定的服务期间，在服务期内由中标单位提供免费维保。</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9、中标单位通过服务热线、远程、现场的方式提供所供产品的维护、更新工作，确保远程心电产品可以正常使用。接到采购方及医联体基层医疗机构以电话、信函、传真、电子邮件等方式提出的服务请求后，中标单位应在1小时内予以响应，如有院方有需要应在4小时内到现场提供服务，并承诺在24小时内解决问题。 </w:t>
      </w:r>
      <w:r/>
    </w:p>
    <w:p>
      <w:pPr>
        <w:ind w:firstLine="480"/>
        <w:jc w:val="both"/>
        <w:keepLines w:val="0"/>
        <w:keepNext w:val="0"/>
        <w:pageBreakBefore w:val="0"/>
        <w:spacing w:line="360" w:lineRule="auto"/>
        <w:widowControl w:val="off"/>
        <w:rPr>
          <w:rStyle w:val="681"/>
          <w:rFonts w:hint="eastAsia" w:ascii="宋体" w:hAnsi="宋体" w:cs="宋体"/>
          <w:b w:val="0"/>
          <w:bCs/>
          <w:i/>
          <w:iCs/>
          <w:color w:val="auto"/>
          <w:sz w:val="24"/>
          <w:szCs w:val="24"/>
          <w:highlight w:val="none"/>
          <w:u w:val="single"/>
          <w:lang w:val="en-US" w:eastAsia="zh-CN"/>
        </w:rPr>
      </w:pPr>
      <w:r>
        <w:rPr>
          <w:rStyle w:val="681"/>
          <w:rFonts w:hint="eastAsia" w:ascii="宋体" w:hAnsi="宋体" w:cs="宋体"/>
          <w:b w:val="0"/>
          <w:bCs/>
          <w:i/>
          <w:iCs/>
          <w:color w:val="auto"/>
          <w:sz w:val="24"/>
          <w:szCs w:val="24"/>
          <w:highlight w:val="none"/>
          <w:u w:val="single"/>
          <w:lang w:val="en-US" w:eastAsia="zh-CN"/>
        </w:rPr>
        <w:t xml:space="preserve">10、中标单位须提供专业的系统的技术培训（操作、维修），并保证采购方及纳入远程心电联网项目的基层医疗机构正常使用设备的各种功能，培训方式为现场集中培训，具体培训时间和地点由采购方指定。</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679"/>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为了确保项目的顺利实施，投标人需具备丰富的承接经验，确保本项目的顺利实施，投标人提供自2022年1月1日（含）以来具有类似项目业绩的优先。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、人员配备</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人员</w:t>
      </w:r>
      <w:r>
        <w:rPr>
          <w:rFonts w:hint="eastAsia" w:ascii="宋体" w:hAnsi="宋体" w:eastAsia="宋体" w:cs="宋体"/>
          <w:bCs/>
          <w:color w:val="auto"/>
          <w:sz w:val="24"/>
          <w:szCs w:val="24"/>
          <w:highlight w:val="none"/>
          <w:lang w:val="en-US" w:eastAsia="zh-CN"/>
        </w:rPr>
        <w:t xml:space="preserve">团队，至少包括</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软件开发维护人员</w:t>
      </w:r>
      <w:r>
        <w:rPr>
          <w:rFonts w:hint="eastAsia" w:ascii="宋体" w:hAnsi="宋体" w:cs="宋体"/>
          <w:bCs/>
          <w:color w:val="auto"/>
          <w:sz w:val="24"/>
          <w:szCs w:val="24"/>
          <w:highlight w:val="none"/>
          <w:lang w:val="en-US" w:eastAsia="zh-CN"/>
        </w:rPr>
        <w:t xml:space="preserve">3名，负责系统平台维护、功能优化、数据安全与隐私保护、系统集成与接口维护等；</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硬件维护人员</w:t>
      </w:r>
      <w:r>
        <w:rPr>
          <w:rFonts w:hint="eastAsia" w:ascii="宋体" w:hAnsi="宋体" w:cs="宋体"/>
          <w:bCs/>
          <w:color w:val="auto"/>
          <w:sz w:val="24"/>
          <w:szCs w:val="24"/>
          <w:highlight w:val="none"/>
          <w:lang w:val="en-US" w:eastAsia="zh-CN"/>
        </w:rPr>
        <w:t xml:space="preserve">2名，负责设备管理与仓储、设备检测与校准、故障诊断与维修、耗材供应保障等；</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后台判读支持服务人员</w:t>
      </w:r>
      <w:r>
        <w:rPr>
          <w:rFonts w:hint="eastAsia" w:ascii="宋体" w:hAnsi="宋体" w:cs="宋体"/>
          <w:bCs/>
          <w:color w:val="auto"/>
          <w:sz w:val="24"/>
          <w:szCs w:val="24"/>
          <w:highlight w:val="none"/>
          <w:lang w:val="en-US" w:eastAsia="zh-CN"/>
        </w:rPr>
        <w:t xml:space="preserve">3名，负责心电数据初筛与分析、专业复核与判读、报告撰写与审核、危急值处理等；</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④现场服务人员</w:t>
      </w:r>
      <w:r>
        <w:rPr>
          <w:rFonts w:hint="eastAsia" w:ascii="宋体" w:hAnsi="宋体" w:cs="宋体"/>
          <w:bCs/>
          <w:color w:val="auto"/>
          <w:sz w:val="24"/>
          <w:szCs w:val="24"/>
          <w:highlight w:val="none"/>
          <w:lang w:val="en-US" w:eastAsia="zh-CN"/>
        </w:rPr>
        <w:t xml:space="preserve">2名，负责设备分发与回收、患者指导、临床沟通与协调、服务流程监督等</w:t>
      </w:r>
      <w:r>
        <w:rPr>
          <w:rFonts w:hint="eastAsia" w:ascii="宋体" w:hAnsi="宋体" w:eastAsia="宋体" w:cs="宋体"/>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六、项目建设方案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投标人应根据采购需求和本项目实际，</w:t>
      </w:r>
      <w:r>
        <w:rPr>
          <w:rFonts w:hint="eastAsia" w:ascii="宋体" w:hAnsi="宋体" w:eastAsia="宋体" w:cs="宋体"/>
          <w:color w:val="auto"/>
          <w:sz w:val="24"/>
          <w:szCs w:val="24"/>
          <w:highlight w:val="none"/>
          <w:lang w:val="en-US" w:eastAsia="zh-CN"/>
        </w:rPr>
        <w:t xml:space="preserve">提供科学合理的项目建设方案，至少包含：</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①方案总体设计：</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1.项目需求理解:深刻理解并复述采购方的核心需求，如：提升心电诊断效率、实现数据统一管理、获得专业及时的诊断报告等。</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2.总体建设目标： 构建一体化的远程动态心电监护平台，建设目标至少实现服务便捷化、 诊断专业化、管理集中化、决策数据化。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3.总体技术架构：技术架构至少包括：分层架构图（建议以图示呈现，并配以文字说明）； 网络数据传输层（通过移动网络、互联网等将数据安全加密传输至云端平台）；云数据中心平台层（至少包含包括基础设施（云服务器、存储、网络）、支撑平台（数据库、中间件）和核心能力）；用户层（最终用户，至少包括医院医生、患者、医院管理人员）。</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②硬件保障与服务方案：</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备机储备：承诺提供不低于设备总数一定比例（如</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%）的备用机，确保故障时即时替换。</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维护流程：描述设备的检测、消毒、校准、维修和报废的全生命周期管理流程。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供应保障：承诺在合同期内保障设备及耗材的持续、稳定供应。</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③软件方案：</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描述平台的各个功能模块和技术实现</w:t>
      </w: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1.软件平台整体功能：至少包含患者端功能（如设备绑定、查看报告）、医生工作站端功能（如患者管理、任务列表、报告中心）、管理后台端功能（如用户与权限管理、数据统计、系统设置）。</w:t>
      </w:r>
      <w:r/>
    </w:p>
    <w:p>
      <w:pPr>
        <w:numPr>
          <w:ilvl w:val="0"/>
          <w:numId w:val="0"/>
        </w:num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2.核心技术功能，至少包含分析能力：列出能自动识别的类型（如房颤、室早、停搏等）。</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安全与运维方案：至少包括数据安全保障（如传输加密、存储加密、数据脱敏、访问日志审计等内容）；等保合规（承诺平台达到国家网络安全等级保护要求）；运维保障（至少含提供7x24小时监控、故障响应流程）。</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④后台判读支持服务方案：</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1.标准化判读流程：至少包含第一步：智能初筛，系统自动分析，标记异常； 第二步：医师复核分析，进行人工复核、修正和确认；第三步：二级审核制度，所有报告均由资深医师进行二次审核签发，确保准确性； 第四步：危急值即时响应，定义“危急值”清单，建立“系统报警+电话通知+记录追踪”的闭环流程。</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2.服务质量保障：至少包含报告出具时效（明确承诺从数据完整上传到报告出具的时间，如：95%的常规报告在24小时内完成。）；服务可用性（如承诺平台年度服务可用率不低于99.5%等）。</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3.持续改进机制：至少包括定期培训（如对判读医师进行每季度一次的培训和考核）；疑难病例会诊（如建立院内或跨院专家会诊机制）； 质量反馈（如定期向采购方提交服务质量报告，并根据反馈持续优化）。</w:t>
      </w:r>
      <w:r/>
    </w:p>
    <w:p>
      <w:p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七、应急预案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投标人应根据采购需求和本项目实际，制订相应的应急预案</w:t>
      </w:r>
      <w:r>
        <w:rPr>
          <w:rFonts w:hint="eastAsia" w:ascii="宋体" w:hAnsi="宋体" w:cs="宋体"/>
          <w:b w:val="0"/>
          <w:bCs/>
          <w:color w:val="auto"/>
          <w:sz w:val="24"/>
          <w:szCs w:val="24"/>
          <w:highlight w:val="none"/>
          <w:lang w:val="en-US" w:eastAsia="zh-CN"/>
        </w:rPr>
        <w:t xml:space="preserve">，至少包括</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①应急组织机构及职责：</w:t>
      </w:r>
      <w:r/>
    </w:p>
    <w:p>
      <w:pPr>
        <w:numPr>
          <w:ilvl w:val="0"/>
          <w:numId w:val="0"/>
        </w:num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应急指挥小组</w:t>
      </w:r>
      <w:r>
        <w:rPr>
          <w:rFonts w:hint="eastAsia" w:ascii="宋体" w:hAnsi="宋体" w:cs="宋体"/>
          <w:color w:val="auto"/>
          <w:sz w:val="24"/>
          <w:szCs w:val="24"/>
          <w:highlight w:val="none"/>
          <w:lang w:val="en-US" w:eastAsia="zh-CN"/>
        </w:rPr>
        <w:t xml:space="preserve">2名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组长：项目总负责人，负责启动和终止应急预案，统筹指挥应急响应。</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副组长：技术负责人、医疗负责人，协助组长决策，负责各自领域的指挥工作。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技术支持组</w:t>
      </w:r>
      <w:r>
        <w:rPr>
          <w:rFonts w:hint="eastAsia" w:ascii="宋体" w:hAnsi="宋体" w:cs="宋体"/>
          <w:color w:val="auto"/>
          <w:sz w:val="24"/>
          <w:szCs w:val="24"/>
          <w:highlight w:val="none"/>
          <w:lang w:val="en-US" w:eastAsia="zh-CN"/>
        </w:rPr>
        <w:t xml:space="preserve">3名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负责硬件、软件、网络故障的诊断、修复和恢复。</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通讯保障组</w:t>
      </w:r>
      <w:r>
        <w:rPr>
          <w:rFonts w:hint="eastAsia" w:ascii="宋体" w:hAnsi="宋体" w:cs="宋体"/>
          <w:color w:val="auto"/>
          <w:sz w:val="24"/>
          <w:szCs w:val="24"/>
          <w:highlight w:val="none"/>
          <w:lang w:val="en-US" w:eastAsia="zh-CN"/>
        </w:rPr>
        <w:t xml:space="preserve">3名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负责内部及对医院、患者的通讯联络、信息发布和解释工作。</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②硬件设备故障应急预案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故障类型</w:t>
      </w:r>
      <w:r>
        <w:rPr>
          <w:rFonts w:hint="eastAsia" w:ascii="宋体" w:hAnsi="宋体" w:cs="宋体"/>
          <w:color w:val="auto"/>
          <w:sz w:val="24"/>
          <w:szCs w:val="24"/>
          <w:highlight w:val="none"/>
          <w:lang w:val="en-US" w:eastAsia="zh-CN"/>
        </w:rPr>
        <w:t xml:space="preserve">分析</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val="en-US" w:eastAsia="zh-CN"/>
        </w:rPr>
        <w:t xml:space="preserve">动态心电记录仪无法开机、无法采集信号、无法上传数据等。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响应流程：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患者/医院报告：现场服务人员或医院科室接到报告后，立即远程指导患者进行简单排查（如充电、重启）。</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备机替换：</w:t>
      </w:r>
      <w:r>
        <w:rPr>
          <w:rFonts w:hint="eastAsia" w:ascii="宋体" w:hAnsi="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val="en-US" w:eastAsia="zh-CN"/>
        </w:rPr>
        <w:t xml:space="preserve">无法远程解决，立即启动备机替换流程。承诺在</w:t>
      </w:r>
      <w:r>
        <w:rPr>
          <w:rFonts w:hint="eastAsia" w:ascii="宋体" w:hAnsi="宋体" w:cs="宋体"/>
          <w:color w:val="auto"/>
          <w:sz w:val="24"/>
          <w:szCs w:val="24"/>
          <w:highlight w:val="none"/>
          <w:lang w:val="en-US" w:eastAsia="zh-CN"/>
        </w:rPr>
        <w:t xml:space="preserve">一定时间</w:t>
      </w:r>
      <w:r>
        <w:rPr>
          <w:rFonts w:hint="eastAsia" w:ascii="宋体" w:hAnsi="宋体" w:eastAsia="宋体" w:cs="宋体"/>
          <w:color w:val="auto"/>
          <w:sz w:val="24"/>
          <w:szCs w:val="24"/>
          <w:highlight w:val="none"/>
          <w:lang w:val="en-US" w:eastAsia="zh-CN"/>
        </w:rPr>
        <w:t xml:space="preserve">内（如4小时</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将备用设备送达患者/医院</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数据抢救：回收故障设备后，</w:t>
      </w:r>
      <w:r>
        <w:rPr>
          <w:rFonts w:hint="eastAsia" w:ascii="宋体" w:hAnsi="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val="en-US" w:eastAsia="zh-CN"/>
        </w:rPr>
        <w:t xml:space="preserve">尝试通过物理连接等方式导出存储的原始数据，并入分析流程</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故障分析：对故障设备进行检测维修，分析故障原因，避免同类问题重复发生</w:t>
      </w:r>
      <w:r>
        <w:rPr>
          <w:rFonts w:hint="eastAsia" w:ascii="宋体" w:hAnsi="宋体" w:cs="宋体"/>
          <w:color w:val="auto"/>
          <w:sz w:val="24"/>
          <w:szCs w:val="24"/>
          <w:highlight w:val="none"/>
          <w:lang w:val="en-US" w:eastAsia="zh-CN"/>
        </w:rPr>
        <w:t xml:space="preserve">，并形成报告</w:t>
      </w:r>
      <w:r>
        <w:rPr>
          <w:rFonts w:hint="eastAsia" w:ascii="宋体" w:hAnsi="宋体" w:eastAsia="宋体" w:cs="宋体"/>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 软件平台故障应急预案</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至少包含：</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故障类型</w:t>
      </w:r>
      <w:r>
        <w:rPr>
          <w:rFonts w:hint="eastAsia" w:ascii="宋体" w:hAnsi="宋体" w:cs="宋体"/>
          <w:color w:val="auto"/>
          <w:sz w:val="24"/>
          <w:szCs w:val="24"/>
          <w:highlight w:val="none"/>
          <w:lang w:val="en-US" w:eastAsia="zh-CN"/>
        </w:rPr>
        <w:t xml:space="preserve">分析</w:t>
      </w:r>
      <w:r>
        <w:rPr>
          <w:rFonts w:hint="eastAsia" w:ascii="宋体" w:hAnsi="宋体" w:eastAsia="宋体" w:cs="宋体"/>
          <w:color w:val="auto"/>
          <w:sz w:val="24"/>
          <w:szCs w:val="24"/>
          <w:highlight w:val="none"/>
          <w:lang w:val="en-US" w:eastAsia="zh-CN"/>
        </w:rPr>
        <w:t xml:space="preserve">：平台无法登录、访问缓慢、数据上传/下载失败、分析功能异常等。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响应流程：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监控与发现：通过运维监控系统自动报警或用户反馈发现故障。</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分级定级：</w:t>
      </w:r>
      <w:r>
        <w:rPr>
          <w:rFonts w:hint="eastAsia" w:ascii="宋体" w:hAnsi="宋体" w:cs="宋体"/>
          <w:color w:val="auto"/>
          <w:sz w:val="24"/>
          <w:szCs w:val="24"/>
          <w:highlight w:val="none"/>
          <w:lang w:val="en-US" w:eastAsia="zh-CN"/>
        </w:rPr>
        <w:t xml:space="preserve">根据软件故障类型，进行分级定级</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。如：</w:t>
      </w:r>
      <w:r/>
    </w:p>
    <w:p>
      <w:pPr>
        <w:numPr>
          <w:ilvl w:val="0"/>
          <w:numId w:val="0"/>
        </w:numPr>
        <w:ind w:firstLine="19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P0级（致命）：平台完全不可用。立即启动全平台服务不可用预案。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P1级（严重）：核心功能（如数据上传、报告生成）严重受影响。</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P2级（一般）：部分非核心功能异常。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 处置措施</w:t>
      </w:r>
      <w:r>
        <w:rPr>
          <w:rFonts w:hint="eastAsia" w:ascii="宋体" w:hAnsi="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技术排查：技术支持组立即定位故障点（应用、数据库、网络、服务器等）。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服务切换：如有备用服务器或云服务区域，立即进行切换。</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数据回滚：如因软件更新导致，立即回滚至上一稳定版本。</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tbl>
      <w:tblPr>
        <w:tblStyle w:val="663"/>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696"/>
        <w:gridCol w:w="3445"/>
      </w:tblGrid>
      <w:tr>
        <w:trPr>
          <w:jc w:val="center"/>
          <w:trHeight w:val="635"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86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3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对应中小企业划分标准所属行业</w:t>
            </w:r>
            <w:r/>
          </w:p>
        </w:tc>
      </w:tr>
      <w:tr>
        <w:trPr>
          <w:jc w:val="center"/>
          <w:trHeight w:val="587" w:hRule="exact"/>
        </w:trPr>
        <w:tc>
          <w:tcPr>
            <w:tcBorders>
              <w:left w:val="single" w:color="000000" w:sz="8" w:space="0"/>
              <w:bottom w:val="single" w:color="000000" w:sz="8" w:space="0"/>
              <w:right w:val="single" w:color="000000" w:sz="8" w:space="0"/>
            </w:tcBorders>
            <w:tcMar>
              <w:left w:w="108" w:type="dxa"/>
              <w:top w:w="0" w:type="dxa"/>
              <w:right w:w="108" w:type="dxa"/>
              <w:bottom w:w="0" w:type="dxa"/>
            </w:tcMar>
            <w:tcW w:w="409"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286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 远程动态心电监测分析服务</w:t>
            </w:r>
            <w:r/>
          </w:p>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r>
            <w:r/>
          </w:p>
        </w:tc>
        <w:tc>
          <w:tcPr>
            <w:tcBorders>
              <w:bottom w:val="single" w:color="000000" w:sz="8" w:space="0"/>
              <w:right w:val="single" w:color="000000" w:sz="8" w:space="0"/>
            </w:tcBorders>
            <w:tcMar>
              <w:left w:w="108" w:type="dxa"/>
              <w:top w:w="0" w:type="dxa"/>
              <w:right w:w="108" w:type="dxa"/>
              <w:bottom w:w="0" w:type="dxa"/>
            </w:tcMar>
            <w:tcW w:w="173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其他未列明行业</w:t>
            </w:r>
            <w:r/>
          </w:p>
        </w:tc>
      </w:tr>
    </w:tbl>
    <w:p>
      <w:pPr>
        <w:jc w:val="both"/>
        <w:spacing w:line="360" w:lineRule="auto"/>
        <w:rPr>
          <w:rFonts w:hint="eastAsia" w:ascii="Calibri"/>
          <w:b/>
          <w:color w:val="auto"/>
          <w:sz w:val="28"/>
          <w:szCs w:val="28"/>
          <w:highlight w:val="none"/>
        </w:rPr>
        <w:outlineLvl w:val="0"/>
      </w:pPr>
      <w:r>
        <w:rPr>
          <w:rFonts w:hint="eastAsia" w:ascii="Calibri"/>
          <w:b/>
          <w:color w:val="auto"/>
          <w:sz w:val="28"/>
          <w:szCs w:val="28"/>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5"/>
      <w:r/>
      <w:bookmarkEnd w:id="66"/>
      <w:r/>
      <w:bookmarkStart w:id="67" w:name="_Toc1883"/>
      <w:r/>
      <w:bookmarkEnd w:id="67"/>
      <w:r/>
      <w:bookmarkStart w:id="68" w:name="_Toc8249"/>
      <w:r/>
      <w:bookmarkEnd w:id="68"/>
      <w:r/>
      <w:bookmarkStart w:id="69" w:name="_Toc9956_WPSOffice_Level2"/>
      <w:r/>
      <w:bookmarkEnd w:id="69"/>
      <w:r/>
      <w:bookmarkStart w:id="70"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676"/>
        <w:ind w:firstLine="480"/>
        <w:spacing w:line="520" w:lineRule="exact"/>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项目名称：</w:t>
      </w:r>
      <w:bookmarkStart w:id="71" w:name="biaoduanname_1"/>
      <w:r/>
      <w:bookmarkEnd w:id="71"/>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676"/>
        <w:ind w:firstLine="480"/>
        <w:spacing w:line="520" w:lineRule="atLeast"/>
        <w:shd w:val="clear" w:color="auto"/>
        <w:rPr>
          <w:rStyle w:val="741"/>
          <w:rFonts w:hint="eastAsia" w:ascii="宋体" w:hAnsi="宋体" w:eastAsia="宋体" w:cs="宋体"/>
          <w:b w:val="0"/>
          <w:bCs/>
          <w:color w:val="auto"/>
          <w:sz w:val="24"/>
          <w:highlight w:val="none"/>
          <w:u w:val="single"/>
        </w:rPr>
      </w:pPr>
      <w:r>
        <w:rPr>
          <w:rStyle w:val="741"/>
          <w:rFonts w:hint="eastAsia" w:ascii="宋体" w:hAnsi="宋体" w:eastAsia="宋体" w:cs="宋体"/>
          <w:b w:val="0"/>
          <w:bCs/>
          <w:color w:val="auto"/>
          <w:sz w:val="24"/>
          <w:highlight w:val="none"/>
        </w:rPr>
        <w:t xml:space="preserve">项目编号：</w:t>
      </w:r>
      <w:bookmarkStart w:id="72" w:name="projectno"/>
      <w:r/>
      <w:bookmarkEnd w:id="72"/>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676"/>
        <w:ind w:firstLine="480"/>
        <w:spacing w:line="520" w:lineRule="atLeast"/>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甲方：（买方）</w:t>
      </w:r>
      <w:bookmarkStart w:id="73" w:name="jianshedanwei_1"/>
      <w:r/>
      <w:bookmarkEnd w:id="73"/>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676"/>
        <w:ind w:firstLine="480"/>
        <w:spacing w:line="520" w:lineRule="atLeast"/>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乙方：（卖方）</w:t>
      </w:r>
      <w:bookmarkStart w:id="74" w:name="zhongbiaodanweiname_1"/>
      <w:r/>
      <w:bookmarkEnd w:id="74"/>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676"/>
        <w:ind w:firstLine="480"/>
        <w:spacing w:line="520" w:lineRule="atLeast"/>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甲、乙双方根据</w:t>
      </w:r>
      <w:bookmarkStart w:id="75" w:name="biaoduanname_2"/>
      <w:r/>
      <w:bookmarkEnd w:id="75"/>
      <w:r>
        <w:rPr>
          <w:rStyle w:val="741"/>
          <w:rFonts w:hint="eastAsia" w:ascii="宋体" w:hAnsi="宋体" w:cs="宋体"/>
          <w:b w:val="0"/>
          <w:bCs/>
          <w:color w:val="auto"/>
          <w:sz w:val="24"/>
          <w:highlight w:val="none"/>
          <w:u w:val="single"/>
          <w:lang w:val="en-US"/>
        </w:rPr>
        <w:t xml:space="preserve">   </w:t>
      </w:r>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741"/>
          <w:rFonts w:hint="eastAsia" w:ascii="宋体" w:hAnsi="宋体" w:eastAsia="宋体" w:cs="宋体"/>
          <w:b w:val="0"/>
          <w:bCs/>
          <w:color w:val="auto"/>
          <w:sz w:val="24"/>
          <w:highlight w:val="none"/>
        </w:rPr>
        <w:t xml:space="preserve">项目公开招标的结果，签署本合同。</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76" w:name="_Toc5222"/>
      <w:r/>
      <w:bookmarkStart w:id="77" w:name="_Toc4693"/>
      <w:r>
        <w:rPr>
          <w:rFonts w:hint="eastAsia" w:ascii="宋体" w:hAnsi="宋体" w:eastAsia="宋体" w:cs="宋体"/>
          <w:b/>
          <w:bCs w:val="0"/>
          <w:color w:val="auto"/>
          <w:sz w:val="28"/>
          <w:szCs w:val="28"/>
          <w:highlight w:val="none"/>
        </w:rPr>
        <w:t xml:space="preserve">一、服务内容</w:t>
      </w:r>
      <w:bookmarkEnd w:id="76"/>
      <w:r/>
      <w:bookmarkEnd w:id="77"/>
      <w:r/>
      <w:r/>
    </w:p>
    <w:tbl>
      <w:tblPr>
        <w:tblStyle w:val="66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val="false"/>
          </w:tcPr>
          <w:p>
            <w:pPr>
              <w:pStyle w:val="676"/>
              <w:ind w:firstLine="0"/>
              <w:jc w:val="center"/>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项目名称</w:t>
            </w:r>
            <w:r/>
          </w:p>
        </w:tc>
        <w:tc>
          <w:tcPr>
            <w:tcW w:w="3374" w:type="dxa"/>
            <w:vAlign w:val="center"/>
            <w:textDirection w:val="lrTb"/>
            <w:noWrap w:val="false"/>
          </w:tcPr>
          <w:p>
            <w:pPr>
              <w:pStyle w:val="676"/>
              <w:ind w:firstLine="480"/>
              <w:jc w:val="center"/>
              <w:keepLines w:val="0"/>
              <w:keepNext w:val="0"/>
              <w:pageBreakBefore w:val="0"/>
              <w:spacing w:line="360" w:lineRule="auto"/>
              <w:shd w:val="clear" w:color="auto"/>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优惠率（%）</w:t>
            </w:r>
            <w:r/>
          </w:p>
        </w:tc>
        <w:tc>
          <w:tcPr>
            <w:tcW w:w="3068" w:type="dxa"/>
            <w:vAlign w:val="center"/>
            <w:textDirection w:val="lrTb"/>
            <w:noWrap w:val="false"/>
          </w:tcPr>
          <w:p>
            <w:pPr>
              <w:pStyle w:val="676"/>
              <w:ind w:firstLine="240"/>
              <w:jc w:val="center"/>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服务内容</w:t>
            </w:r>
            <w:r/>
          </w:p>
        </w:tc>
      </w:tr>
      <w:tr>
        <w:trPr>
          <w:cantSplit/>
          <w:jc w:val="center"/>
          <w:trHeight w:val="567"/>
        </w:trPr>
        <w:tc>
          <w:tcPr>
            <w:tcW w:w="3376" w:type="dxa"/>
            <w:vAlign w:val="center"/>
            <w:textDirection w:val="lrTb"/>
            <w:noWrap w:val="false"/>
          </w:tcPr>
          <w:p>
            <w:pPr>
              <w:pStyle w:val="676"/>
              <w:ind w:firstLine="0"/>
              <w:jc w:val="center"/>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bookmarkStart w:id="78" w:name="biaoduanname_3"/>
            <w:r/>
            <w:bookmarkEnd w:id="78"/>
            <w:r/>
            <w:r/>
          </w:p>
        </w:tc>
        <w:tc>
          <w:tcPr>
            <w:tcW w:w="3374" w:type="dxa"/>
            <w:vAlign w:val="center"/>
            <w:textDirection w:val="lrTb"/>
            <w:noWrap w:val="false"/>
          </w:tcPr>
          <w:p>
            <w:pPr>
              <w:pStyle w:val="676"/>
              <w:ind w:firstLine="0"/>
              <w:jc w:val="center"/>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bookmarkStart w:id="79" w:name="zhongbiaopricelow_1"/>
            <w:r/>
            <w:bookmarkEnd w:id="79"/>
            <w:r/>
            <w:r/>
          </w:p>
        </w:tc>
        <w:tc>
          <w:tcPr>
            <w:tcW w:w="3068" w:type="dxa"/>
            <w:vAlign w:val="center"/>
            <w:textDirection w:val="lrTb"/>
            <w:noWrap w:val="false"/>
          </w:tcPr>
          <w:p>
            <w:pPr>
              <w:pStyle w:val="676"/>
              <w:ind w:firstLine="0"/>
              <w:jc w:val="center"/>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bookmarkStart w:id="80" w:name="fuwuneirong"/>
            <w:r/>
            <w:bookmarkEnd w:id="80"/>
            <w:r/>
            <w:r/>
          </w:p>
        </w:tc>
      </w:tr>
    </w:tbl>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81" w:name="_Toc30885"/>
      <w:r/>
      <w:bookmarkStart w:id="82" w:name="_Toc28929"/>
      <w:r>
        <w:rPr>
          <w:rFonts w:hint="eastAsia" w:ascii="宋体" w:hAnsi="宋体" w:eastAsia="宋体" w:cs="宋体"/>
          <w:b/>
          <w:bCs w:val="0"/>
          <w:color w:val="auto"/>
          <w:sz w:val="28"/>
          <w:szCs w:val="28"/>
          <w:highlight w:val="none"/>
        </w:rPr>
        <w:t xml:space="preserve">二、合同金额</w:t>
      </w:r>
      <w:bookmarkEnd w:id="81"/>
      <w:r/>
      <w:bookmarkEnd w:id="82"/>
      <w:r/>
      <w:r/>
    </w:p>
    <w:p>
      <w:pPr>
        <w:pStyle w:val="676"/>
        <w:ind w:firstLine="480"/>
        <w:jc w:val="left"/>
        <w:keepLines w:val="0"/>
        <w:keepNext w:val="0"/>
        <w:pageBreakBefore w:val="0"/>
        <w:spacing w:line="360" w:lineRule="auto"/>
        <w:shd w:val="clear" w:color="auto"/>
        <w:rPr>
          <w:rStyle w:val="741"/>
          <w:rFonts w:hint="default" w:ascii="宋体" w:hAnsi="宋体" w:eastAsia="宋体" w:cs="宋体"/>
          <w:b w:val="0"/>
          <w:bCs/>
          <w:color w:val="auto"/>
          <w:sz w:val="24"/>
          <w:highlight w:val="none"/>
          <w:lang w:val="en-US" w:eastAsia="zh-CN"/>
        </w:rPr>
      </w:pPr>
      <w:r>
        <w:rPr>
          <w:rStyle w:val="741"/>
          <w:rFonts w:hint="eastAsia" w:ascii="宋体" w:hAnsi="宋体" w:cs="宋体"/>
          <w:b w:val="0"/>
          <w:bCs/>
          <w:color w:val="auto"/>
          <w:sz w:val="24"/>
          <w:highlight w:val="none"/>
          <w:lang w:val="en-US" w:eastAsia="zh-CN"/>
        </w:rPr>
        <w:t xml:space="preserve">2.1 本合同金额为（大写）：</w:t>
      </w:r>
      <w:r>
        <w:rPr>
          <w:rStyle w:val="741"/>
          <w:rFonts w:hint="eastAsia" w:ascii="宋体" w:hAnsi="宋体" w:cs="宋体"/>
          <w:b w:val="0"/>
          <w:bCs/>
          <w:color w:val="auto"/>
          <w:sz w:val="24"/>
          <w:highlight w:val="none"/>
          <w:u w:val="single"/>
          <w:lang w:val="en-US" w:eastAsia="zh-CN"/>
        </w:rPr>
        <w:t xml:space="preserve">                  </w:t>
      </w:r>
      <w:r>
        <w:rPr>
          <w:rStyle w:val="741"/>
          <w:rFonts w:hint="eastAsia" w:ascii="宋体" w:hAnsi="宋体" w:cs="宋体"/>
          <w:b w:val="0"/>
          <w:bCs/>
          <w:color w:val="auto"/>
          <w:sz w:val="24"/>
          <w:highlight w:val="none"/>
          <w:u w:val="none"/>
          <w:lang w:val="en-US" w:eastAsia="zh-CN"/>
        </w:rPr>
        <w:t xml:space="preserve">元（           元）人民币。</w:t>
      </w:r>
      <w:r/>
    </w:p>
    <w:p>
      <w:pPr>
        <w:pStyle w:val="676"/>
        <w:ind w:firstLine="480"/>
        <w:jc w:val="left"/>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eastAsia="zh-CN"/>
        </w:rPr>
        <w:t xml:space="preserve">总价为综合报价</w:t>
      </w:r>
      <w:r>
        <w:rPr>
          <w:rStyle w:val="741"/>
          <w:rFonts w:hint="eastAsia" w:ascii="宋体" w:hAnsi="宋体" w:eastAsia="宋体" w:cs="宋体"/>
          <w:b w:val="0"/>
          <w:bCs/>
          <w:color w:val="auto"/>
          <w:sz w:val="24"/>
          <w:highlight w:val="none"/>
        </w:rPr>
        <w:t xml:space="preserve">，应包括但不限于人员费用（工资、福利、培训、社会保险等）、服务所用设备工具购置及维修费用、服务所用材料消耗费用、管理费用、</w:t>
      </w:r>
      <w:r>
        <w:rPr>
          <w:rFonts w:hint="eastAsia" w:ascii="宋体" w:hAnsi="宋体" w:eastAsia="宋体" w:cs="宋体"/>
          <w:b w:val="0"/>
          <w:bCs/>
          <w:i w:val="0"/>
          <w:iCs w:val="0"/>
          <w:color w:val="auto"/>
          <w:spacing w:val="4"/>
          <w:sz w:val="24"/>
          <w:szCs w:val="24"/>
          <w:highlight w:val="none"/>
          <w:u w:val="none"/>
          <w:lang w:val="en-US" w:eastAsia="zh-CN" w:bidi="ar-SA"/>
        </w:rPr>
        <w:t xml:space="preserve">差旅费、</w:t>
      </w:r>
      <w:r>
        <w:rPr>
          <w:rStyle w:val="741"/>
          <w:rFonts w:hint="eastAsia" w:ascii="宋体" w:hAnsi="宋体" w:eastAsia="宋体" w:cs="宋体"/>
          <w:b w:val="0"/>
          <w:bCs/>
          <w:color w:val="auto"/>
          <w:sz w:val="24"/>
          <w:highlight w:val="none"/>
        </w:rPr>
        <w:t xml:space="preserve">利润、税金、政策性文件规定及合同包含的所有风险、责任等各项应有费用。</w:t>
      </w:r>
      <w:r/>
    </w:p>
    <w:p>
      <w:pPr>
        <w:ind w:firstLine="480"/>
        <w:keepLines w:val="0"/>
        <w:keepNext w:val="0"/>
        <w:pageBreakBefore w:val="0"/>
        <w:spacing w:line="360" w:lineRule="auto"/>
        <w:shd w:val="clear" w:color="auto"/>
        <w:rPr>
          <w:rFonts w:hint="eastAsia" w:ascii="宋体" w:hAnsi="宋体" w:eastAsia="宋体" w:cs="宋体"/>
          <w:b w:val="0"/>
          <w:bCs/>
          <w:color w:val="auto"/>
          <w:sz w:val="28"/>
          <w:szCs w:val="28"/>
          <w:highlight w:val="none"/>
          <w:lang w:val="en-US" w:eastAsia="zh-CN"/>
        </w:rPr>
        <w:outlineLvl w:val="1"/>
      </w:pPr>
      <w:r/>
      <w:bookmarkStart w:id="83" w:name="_Toc21859"/>
      <w:r/>
      <w:bookmarkStart w:id="84" w:name="_Toc29781"/>
      <w:r/>
      <w:bookmarkStart w:id="85" w:name="_Toc15500"/>
      <w:r/>
      <w:bookmarkStart w:id="86" w:name="_Toc6543"/>
      <w:r/>
      <w:bookmarkStart w:id="87" w:name="_Toc2774"/>
      <w:r/>
      <w:bookmarkStart w:id="88" w:name="_Toc6410"/>
      <w:r>
        <w:rPr>
          <w:rStyle w:val="741"/>
          <w:rFonts w:hint="eastAsia" w:ascii="宋体" w:hAnsi="宋体" w:cs="宋体"/>
          <w:b w:val="0"/>
          <w:bCs/>
          <w:color w:val="auto"/>
          <w:sz w:val="24"/>
          <w:highlight w:val="none"/>
          <w:lang w:val="en-US" w:eastAsia="zh-CN"/>
        </w:rPr>
        <w:t xml:space="preserve">2.2 合同服务期内，若年度实际发生金额超过本合同总金额，则最终年度结算总金额仍为本合同总金额。</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履约保证金</w:t>
      </w:r>
      <w:bookmarkEnd w:id="83"/>
      <w:r/>
      <w:bookmarkEnd w:id="84"/>
      <w:r/>
      <w:bookmarkEnd w:id="85"/>
      <w:r/>
      <w:bookmarkEnd w:id="86"/>
      <w:r/>
      <w:bookmarkEnd w:id="87"/>
      <w:r/>
      <w:bookmarkEnd w:id="88"/>
      <w:r/>
      <w:r/>
    </w:p>
    <w:p>
      <w:pPr>
        <w:ind w:firstLine="480"/>
        <w:keepLines w:val="0"/>
        <w:keepNext w:val="0"/>
        <w:pageBreakBefore w:val="0"/>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.1 合同签订前，乙方向</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交纳人民币</w:t>
      </w:r>
      <w:bookmarkStart w:id="89" w:name="lvbzj"/>
      <w:r/>
      <w:bookmarkEnd w:id="89"/>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元作为本合同的履约保证金。履约保证金应当以支票、汇票、本票或者金融机构、担保机构出具的保函等非现金形式提交。</w:t>
      </w:r>
      <w:r/>
    </w:p>
    <w:p>
      <w:pPr>
        <w:ind w:firstLine="480"/>
        <w:keepLines w:val="0"/>
        <w:keepNext w:val="0"/>
        <w:pageBreakBefore w:val="0"/>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.2 合同履行完毕退还履约保证金。</w:t>
      </w:r>
      <w:r>
        <w:rPr>
          <w:rStyle w:val="741"/>
          <w:rFonts w:hint="eastAsia" w:ascii="宋体" w:hAnsi="宋体" w:eastAsia="宋体" w:cs="宋体"/>
          <w:b w:val="0"/>
          <w:bCs/>
          <w:caps w:val="0"/>
          <w:smallCaps w:val="0"/>
          <w:color w:val="auto"/>
          <w:spacing w:val="0"/>
          <w:sz w:val="24"/>
          <w:highlight w:val="none"/>
          <w:shd w:val="clear" w:color="auto" w:fill="auto"/>
        </w:rPr>
        <w:t xml:space="preserve">逾期退还的，应当支付逾期利息，且逾期利息的利率不得低于合同订立时1年期贷款市场报价利率。</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3</w:t>
      </w:r>
      <w:r>
        <w:rPr>
          <w:rStyle w:val="741"/>
          <w:rFonts w:hint="eastAsia" w:ascii="宋体" w:hAnsi="宋体" w:eastAsia="宋体" w:cs="宋体"/>
          <w:b w:val="0"/>
          <w:bCs/>
          <w:color w:val="auto"/>
          <w:sz w:val="24"/>
          <w:highlight w:val="none"/>
        </w:rPr>
        <w:t xml:space="preserve">.3</w:t>
      </w:r>
      <w:r>
        <w:rPr>
          <w:rStyle w:val="741"/>
          <w:rFonts w:hint="eastAsia" w:ascii="宋体" w:hAnsi="宋体" w:eastAsia="宋体" w:cs="宋体"/>
          <w:b w:val="0"/>
          <w:bCs/>
          <w:color w:val="auto"/>
          <w:sz w:val="24"/>
          <w:highlight w:val="none"/>
          <w:lang w:val="en-US" w:eastAsia="zh-CN"/>
        </w:rPr>
        <w:t xml:space="preserve"> </w:t>
      </w:r>
      <w:r>
        <w:rPr>
          <w:rStyle w:val="741"/>
          <w:rFonts w:hint="eastAsia" w:ascii="宋体" w:hAnsi="宋体" w:eastAsia="宋体" w:cs="宋体"/>
          <w:b w:val="0"/>
          <w:bCs/>
          <w:color w:val="auto"/>
          <w:sz w:val="24"/>
          <w:highlight w:val="none"/>
        </w:rPr>
        <w:t xml:space="preserve">乙方不履行与甲方订立的合同的，履约保证金不予退还。</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90" w:name="_Toc19916"/>
      <w:r/>
      <w:bookmarkStart w:id="91" w:name="_Toc3389"/>
      <w:r/>
      <w:bookmarkStart w:id="92" w:name="_Toc2611"/>
      <w:r/>
      <w:bookmarkStart w:id="93" w:name="_Toc29081"/>
      <w:r/>
      <w:bookmarkStart w:id="94" w:name="_Toc10726"/>
      <w:r/>
      <w:bookmarkStart w:id="95" w:name="_Toc25340"/>
      <w:r>
        <w:rPr>
          <w:rFonts w:hint="eastAsia" w:ascii="宋体" w:hAnsi="宋体" w:eastAsia="宋体" w:cs="宋体"/>
          <w:b/>
          <w:bCs w:val="0"/>
          <w:color w:val="auto"/>
          <w:sz w:val="28"/>
          <w:szCs w:val="28"/>
          <w:highlight w:val="none"/>
          <w:lang w:val="en-US" w:eastAsia="zh-CN"/>
        </w:rPr>
        <w:t xml:space="preserve">四</w:t>
      </w:r>
      <w:r>
        <w:rPr>
          <w:rFonts w:hint="eastAsia" w:ascii="宋体" w:hAnsi="宋体" w:eastAsia="宋体" w:cs="宋体"/>
          <w:b/>
          <w:bCs w:val="0"/>
          <w:color w:val="auto"/>
          <w:sz w:val="28"/>
          <w:szCs w:val="28"/>
          <w:highlight w:val="none"/>
        </w:rPr>
        <w:t xml:space="preserve">、转包或分包</w:t>
      </w:r>
      <w:bookmarkEnd w:id="90"/>
      <w:r/>
      <w:bookmarkEnd w:id="91"/>
      <w:r/>
      <w:bookmarkEnd w:id="92"/>
      <w:r/>
      <w:bookmarkEnd w:id="93"/>
      <w:r/>
      <w:bookmarkEnd w:id="94"/>
      <w:r/>
      <w:bookmarkEnd w:id="95"/>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4</w:t>
      </w:r>
      <w:r>
        <w:rPr>
          <w:rStyle w:val="741"/>
          <w:rFonts w:hint="eastAsia" w:ascii="宋体" w:hAnsi="宋体" w:eastAsia="宋体" w:cs="宋体"/>
          <w:b w:val="0"/>
          <w:bCs/>
          <w:color w:val="auto"/>
          <w:sz w:val="24"/>
          <w:highlight w:val="none"/>
        </w:rPr>
        <w:t xml:space="preserve">.1 本合同范围的服务，应由乙方直接提供，不得转让他人提供；</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4</w:t>
      </w:r>
      <w:r>
        <w:rPr>
          <w:rStyle w:val="741"/>
          <w:rFonts w:hint="eastAsia" w:ascii="宋体" w:hAnsi="宋体" w:eastAsia="宋体" w:cs="宋体"/>
          <w:b w:val="0"/>
          <w:bCs/>
          <w:color w:val="auto"/>
          <w:sz w:val="24"/>
          <w:highlight w:val="none"/>
        </w:rPr>
        <w:t xml:space="preserve">.2 如有转包和分包行为，甲方有权给予终止合同。</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96" w:name="_Toc4959"/>
      <w:r/>
      <w:bookmarkStart w:id="97" w:name="_Toc23097"/>
      <w:r/>
      <w:bookmarkStart w:id="98" w:name="_Toc28714"/>
      <w:r/>
      <w:bookmarkStart w:id="99" w:name="_Toc20579"/>
      <w:r/>
      <w:bookmarkStart w:id="100" w:name="_Toc21401"/>
      <w:r/>
      <w:bookmarkStart w:id="101" w:name="_Toc4676"/>
      <w:r>
        <w:rPr>
          <w:rFonts w:hint="eastAsia" w:ascii="宋体" w:hAnsi="宋体" w:eastAsia="宋体" w:cs="宋体"/>
          <w:b/>
          <w:bCs w:val="0"/>
          <w:color w:val="auto"/>
          <w:sz w:val="28"/>
          <w:szCs w:val="28"/>
          <w:highlight w:val="none"/>
          <w:lang w:val="en-US" w:eastAsia="zh-CN"/>
        </w:rPr>
        <w:t xml:space="preserve">五</w:t>
      </w:r>
      <w:r>
        <w:rPr>
          <w:rFonts w:hint="eastAsia" w:ascii="宋体" w:hAnsi="宋体" w:eastAsia="宋体" w:cs="宋体"/>
          <w:b/>
          <w:bCs w:val="0"/>
          <w:color w:val="auto"/>
          <w:sz w:val="28"/>
          <w:szCs w:val="28"/>
          <w:highlight w:val="none"/>
        </w:rPr>
        <w:t xml:space="preserve">、服务期限</w:t>
      </w:r>
      <w:bookmarkEnd w:id="96"/>
      <w:r/>
      <w:bookmarkEnd w:id="97"/>
      <w:r/>
      <w:bookmarkEnd w:id="98"/>
      <w:r/>
      <w:bookmarkEnd w:id="99"/>
      <w:r/>
      <w:bookmarkEnd w:id="100"/>
      <w:r/>
      <w:bookmarkEnd w:id="101"/>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5</w:t>
      </w:r>
      <w:r>
        <w:rPr>
          <w:rStyle w:val="741"/>
          <w:rFonts w:hint="eastAsia" w:ascii="宋体" w:hAnsi="宋体" w:eastAsia="宋体" w:cs="宋体"/>
          <w:b w:val="0"/>
          <w:bCs/>
          <w:color w:val="auto"/>
          <w:sz w:val="24"/>
          <w:highlight w:val="none"/>
        </w:rPr>
        <w:t xml:space="preserve">.1 服务期限：</w:t>
      </w:r>
      <w:bookmarkStart w:id="102" w:name="fuwuqixian"/>
      <w:r/>
      <w:bookmarkEnd w:id="102"/>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741"/>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741"/>
          <w:rFonts w:hint="eastAsia" w:ascii="宋体" w:hAnsi="宋体" w:eastAsia="宋体" w:cs="宋体"/>
          <w:b w:val="0"/>
          <w:bCs/>
          <w:caps w:val="0"/>
          <w:smallCaps w:val="0"/>
          <w:color w:val="auto"/>
          <w:spacing w:val="0"/>
          <w:sz w:val="24"/>
          <w:highlight w:val="none"/>
          <w:shd w:val="clear" w:color="auto" w:fill="auto"/>
          <w:lang w:val="en-US" w:eastAsia="zh-CN"/>
        </w:rPr>
        <w:t xml:space="preserve">。</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03" w:name="_Toc5277"/>
      <w:r/>
      <w:bookmarkStart w:id="104" w:name="_Toc10285"/>
      <w:r/>
      <w:bookmarkStart w:id="105" w:name="_Toc24851"/>
      <w:r/>
      <w:bookmarkStart w:id="106" w:name="_Toc11074"/>
      <w:r/>
      <w:bookmarkStart w:id="107" w:name="_Toc231"/>
      <w:r/>
      <w:bookmarkStart w:id="108" w:name="_Toc32631"/>
      <w:r>
        <w:rPr>
          <w:rFonts w:hint="eastAsia" w:ascii="宋体" w:hAnsi="宋体" w:eastAsia="宋体" w:cs="宋体"/>
          <w:b/>
          <w:bCs w:val="0"/>
          <w:color w:val="auto"/>
          <w:sz w:val="28"/>
          <w:szCs w:val="28"/>
          <w:highlight w:val="none"/>
          <w:lang w:val="en-US" w:eastAsia="zh-CN"/>
        </w:rPr>
        <w:t xml:space="preserve">六</w:t>
      </w:r>
      <w:r>
        <w:rPr>
          <w:rFonts w:hint="eastAsia" w:ascii="宋体" w:hAnsi="宋体" w:eastAsia="宋体" w:cs="宋体"/>
          <w:b/>
          <w:bCs w:val="0"/>
          <w:color w:val="auto"/>
          <w:sz w:val="28"/>
          <w:szCs w:val="28"/>
          <w:highlight w:val="none"/>
        </w:rPr>
        <w:t xml:space="preserve">、货款支付</w:t>
      </w:r>
      <w:bookmarkEnd w:id="103"/>
      <w:r/>
      <w:bookmarkEnd w:id="104"/>
      <w:r/>
      <w:bookmarkEnd w:id="105"/>
      <w:r/>
      <w:bookmarkEnd w:id="106"/>
      <w:r/>
      <w:bookmarkEnd w:id="107"/>
      <w:r/>
      <w:bookmarkEnd w:id="108"/>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6</w:t>
      </w:r>
      <w:r>
        <w:rPr>
          <w:rStyle w:val="741"/>
          <w:rFonts w:hint="eastAsia" w:ascii="宋体" w:hAnsi="宋体" w:eastAsia="宋体" w:cs="宋体"/>
          <w:b w:val="0"/>
          <w:bCs/>
          <w:color w:val="auto"/>
          <w:sz w:val="24"/>
          <w:highlight w:val="none"/>
        </w:rPr>
        <w:t xml:space="preserve">.1 结付程序：</w:t>
      </w:r>
      <w:bookmarkStart w:id="109" w:name="jiefuchengxu"/>
      <w:r/>
      <w:bookmarkEnd w:id="109"/>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741"/>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741"/>
          <w:rFonts w:hint="eastAsia" w:ascii="宋体" w:hAnsi="宋体" w:eastAsia="宋体" w:cs="宋体"/>
          <w:b w:val="0"/>
          <w:bCs/>
          <w:caps w:val="0"/>
          <w:smallCaps w:val="0"/>
          <w:color w:val="auto"/>
          <w:spacing w:val="0"/>
          <w:sz w:val="24"/>
          <w:highlight w:val="none"/>
          <w:shd w:val="clear" w:color="auto" w:fill="auto"/>
          <w:lang w:val="en-US" w:eastAsia="zh-CN"/>
        </w:rPr>
        <w:t xml:space="preserve">。</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6</w:t>
      </w:r>
      <w:r>
        <w:rPr>
          <w:rStyle w:val="741"/>
          <w:rFonts w:hint="eastAsia" w:ascii="宋体" w:hAnsi="宋体" w:eastAsia="宋体" w:cs="宋体"/>
          <w:b w:val="0"/>
          <w:bCs/>
          <w:color w:val="auto"/>
          <w:sz w:val="24"/>
          <w:highlight w:val="none"/>
        </w:rPr>
        <w:t xml:space="preserve">.2结付期限：</w:t>
      </w:r>
      <w:bookmarkStart w:id="110" w:name="jiefuqixian"/>
      <w:r/>
      <w:bookmarkEnd w:id="110"/>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741"/>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741"/>
          <w:rFonts w:hint="eastAsia" w:ascii="宋体" w:hAnsi="宋体" w:cs="宋体"/>
          <w:b w:val="0"/>
          <w:bCs/>
          <w:caps w:val="0"/>
          <w:smallCaps w:val="0"/>
          <w:color w:val="auto"/>
          <w:spacing w:val="0"/>
          <w:sz w:val="24"/>
          <w:highlight w:val="none"/>
          <w:u w:val="single"/>
          <w:shd w:val="clear" w:color="auto" w:fill="auto"/>
          <w:lang w:val="en-US" w:eastAsia="zh-CN"/>
        </w:rPr>
        <w:t xml:space="preserve"> </w:t>
      </w:r>
      <w:r>
        <w:rPr>
          <w:rStyle w:val="741"/>
          <w:rFonts w:hint="eastAsia" w:ascii="宋体" w:hAnsi="宋体" w:eastAsia="宋体" w:cs="宋体"/>
          <w:b w:val="0"/>
          <w:bCs/>
          <w:caps w:val="0"/>
          <w:smallCaps w:val="0"/>
          <w:color w:val="auto"/>
          <w:spacing w:val="0"/>
          <w:sz w:val="24"/>
          <w:highlight w:val="none"/>
          <w:shd w:val="clear" w:color="auto" w:fill="auto"/>
          <w:lang w:val="en-US" w:eastAsia="zh-CN"/>
        </w:rPr>
        <w:t xml:space="preserve">。</w:t>
      </w:r>
      <w:r/>
    </w:p>
    <w:p>
      <w:pPr>
        <w:pStyle w:val="676"/>
        <w:ind w:firstLine="47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6</w:t>
      </w:r>
      <w:r>
        <w:rPr>
          <w:rStyle w:val="741"/>
          <w:rFonts w:hint="eastAsia" w:ascii="宋体" w:hAnsi="宋体" w:eastAsia="宋体" w:cs="宋体"/>
          <w:b w:val="0"/>
          <w:bCs/>
          <w:color w:val="auto"/>
          <w:sz w:val="24"/>
          <w:highlight w:val="none"/>
        </w:rPr>
        <w:t xml:space="preserve">.3乙方收款账户：</w:t>
      </w:r>
      <w:bookmarkStart w:id="111" w:name="yifangzhanghao"/>
      <w:r/>
      <w:bookmarkEnd w:id="111"/>
      <w:r>
        <w:rPr>
          <w:rStyle w:val="741"/>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741"/>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741"/>
          <w:rFonts w:hint="eastAsia" w:ascii="宋体" w:hAnsi="宋体" w:eastAsia="宋体" w:cs="宋体"/>
          <w:b w:val="0"/>
          <w:bCs/>
          <w:color w:val="auto"/>
          <w:sz w:val="24"/>
          <w:highlight w:val="none"/>
        </w:rPr>
        <w:t xml:space="preserve">。</w:t>
      </w:r>
      <w:r/>
    </w:p>
    <w:p>
      <w:pPr>
        <w:pStyle w:val="677"/>
        <w:keepLines w:val="0"/>
        <w:keepNext w:val="0"/>
        <w:pageBreakBefore w:val="0"/>
        <w:spacing w:line="360" w:lineRule="auto"/>
        <w:shd w:val="clear" w:color="auto"/>
        <w:rPr>
          <w:rStyle w:val="741"/>
          <w:rFonts w:hint="eastAsia" w:ascii="宋体" w:hAnsi="宋体" w:eastAsia="宋体" w:cs="宋体"/>
          <w:b w:val="0"/>
          <w:bCs/>
          <w:color w:val="auto"/>
          <w:sz w:val="24"/>
          <w:szCs w:val="24"/>
          <w:highlight w:val="none"/>
        </w:rPr>
      </w:pPr>
      <w:r>
        <w:rPr>
          <w:rStyle w:val="741"/>
          <w:rFonts w:hint="eastAsia" w:ascii="宋体" w:hAnsi="宋体" w:eastAsia="宋体" w:cs="宋体"/>
          <w:b w:val="0"/>
          <w:bCs/>
          <w:color w:val="auto"/>
          <w:sz w:val="24"/>
          <w:szCs w:val="24"/>
          <w:highlight w:val="none"/>
          <w:lang w:val="en-US"/>
        </w:rPr>
        <w:t xml:space="preserve">6.4</w:t>
      </w:r>
      <w:r>
        <w:rPr>
          <w:rStyle w:val="741"/>
          <w:rFonts w:hint="eastAsia" w:ascii="宋体" w:hAnsi="宋体" w:eastAsia="宋体" w:cs="宋体"/>
          <w:b w:val="0"/>
          <w:bCs/>
          <w:color w:val="auto"/>
          <w:sz w:val="24"/>
          <w:szCs w:val="24"/>
          <w:highlight w:val="none"/>
        </w:rPr>
        <w:t xml:space="preserve">甲方合同款支付方式：</w:t>
      </w:r>
      <w:bookmarkStart w:id="112" w:name="hetongzhifutype"/>
      <w:r/>
      <w:bookmarkEnd w:id="112"/>
      <w:r>
        <w:rPr>
          <w:rStyle w:val="741"/>
          <w:rFonts w:hint="eastAsia" w:ascii="宋体" w:hAnsi="宋体" w:eastAsia="宋体" w:cs="宋体"/>
          <w:b w:val="0"/>
          <w:bCs/>
          <w:caps w:val="0"/>
          <w:smallCaps w:val="0"/>
          <w:color w:val="auto"/>
          <w:spacing w:val="0"/>
          <w:sz w:val="24"/>
          <w:szCs w:val="24"/>
          <w:highlight w:val="none"/>
          <w:u w:val="single"/>
          <w:shd w:val="clear" w:color="auto" w:fill="auto"/>
        </w:rPr>
        <w:t xml:space="preserve">  </w:t>
      </w:r>
      <w:r>
        <w:rPr>
          <w:rStyle w:val="741"/>
          <w:rFonts w:hint="eastAsia" w:ascii="宋体" w:hAnsi="宋体" w:eastAsia="宋体" w:cs="宋体"/>
          <w:b w:val="0"/>
          <w:bCs/>
          <w:caps w:val="0"/>
          <w:smallCaps w:val="0"/>
          <w:color w:val="auto"/>
          <w:spacing w:val="0"/>
          <w:sz w:val="24"/>
          <w:szCs w:val="24"/>
          <w:highlight w:val="none"/>
          <w:u w:val="single"/>
          <w:shd w:val="clear" w:color="auto" w:fill="auto"/>
          <w:lang w:val="en-US" w:eastAsia="zh-CN"/>
        </w:rPr>
        <w:t xml:space="preserve">                        </w:t>
      </w:r>
      <w:r>
        <w:rPr>
          <w:rStyle w:val="741"/>
          <w:rFonts w:hint="eastAsia" w:ascii="宋体" w:hAnsi="宋体" w:eastAsia="宋体" w:cs="宋体"/>
          <w:b w:val="0"/>
          <w:bCs/>
          <w:caps w:val="0"/>
          <w:smallCaps w:val="0"/>
          <w:color w:val="auto"/>
          <w:spacing w:val="0"/>
          <w:sz w:val="24"/>
          <w:szCs w:val="24"/>
          <w:highlight w:val="none"/>
          <w:shd w:val="clear" w:color="auto" w:fill="auto"/>
          <w:lang w:val="en-US" w:eastAsia="zh-CN"/>
        </w:rPr>
        <w:t xml:space="preserve">。</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13" w:name="_Toc9998"/>
      <w:r/>
      <w:bookmarkStart w:id="114" w:name="_Toc15"/>
      <w:r/>
      <w:bookmarkStart w:id="115" w:name="_Toc1145"/>
      <w:r/>
      <w:bookmarkStart w:id="116" w:name="_Toc22546"/>
      <w:r/>
      <w:bookmarkStart w:id="117" w:name="_Toc9640"/>
      <w:r/>
      <w:bookmarkStart w:id="118" w:name="_Toc18053"/>
      <w:r>
        <w:rPr>
          <w:rFonts w:hint="eastAsia" w:ascii="宋体" w:hAnsi="宋体" w:eastAsia="宋体" w:cs="宋体"/>
          <w:b/>
          <w:bCs w:val="0"/>
          <w:color w:val="auto"/>
          <w:sz w:val="28"/>
          <w:szCs w:val="28"/>
          <w:highlight w:val="none"/>
          <w:lang w:val="en-US" w:eastAsia="zh-CN"/>
        </w:rPr>
        <w:t xml:space="preserve">七</w:t>
      </w:r>
      <w:r>
        <w:rPr>
          <w:rFonts w:hint="eastAsia" w:ascii="宋体" w:hAnsi="宋体" w:eastAsia="宋体" w:cs="宋体"/>
          <w:b/>
          <w:bCs w:val="0"/>
          <w:color w:val="auto"/>
          <w:sz w:val="28"/>
          <w:szCs w:val="28"/>
          <w:highlight w:val="none"/>
        </w:rPr>
        <w:t xml:space="preserve">、税</w:t>
      </w:r>
      <w:bookmarkEnd w:id="113"/>
      <w:r/>
      <w:bookmarkEnd w:id="114"/>
      <w:r/>
      <w:bookmarkEnd w:id="115"/>
      <w:r/>
      <w:bookmarkEnd w:id="116"/>
      <w:r/>
      <w:bookmarkEnd w:id="117"/>
      <w:r/>
      <w:bookmarkEnd w:id="118"/>
      <w:r>
        <w:rPr>
          <w:rFonts w:hint="eastAsia" w:ascii="宋体" w:hAnsi="宋体" w:eastAsia="宋体" w:cs="宋体"/>
          <w:b/>
          <w:bCs w:val="0"/>
          <w:color w:val="auto"/>
          <w:sz w:val="28"/>
          <w:szCs w:val="28"/>
          <w:highlight w:val="none"/>
        </w:rPr>
        <w:t xml:space="preserve">费</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7</w:t>
      </w:r>
      <w:r>
        <w:rPr>
          <w:rStyle w:val="741"/>
          <w:rFonts w:hint="eastAsia" w:ascii="宋体" w:hAnsi="宋体" w:eastAsia="宋体" w:cs="宋体"/>
          <w:b w:val="0"/>
          <w:bCs/>
          <w:color w:val="auto"/>
          <w:sz w:val="24"/>
          <w:highlight w:val="none"/>
        </w:rPr>
        <w:t xml:space="preserve">.1 本合同执行中相关的一切税费均由乙方负担。</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19" w:name="_Toc9311"/>
      <w:r/>
      <w:bookmarkStart w:id="120" w:name="_Toc25181"/>
      <w:r/>
      <w:bookmarkStart w:id="121" w:name="_Toc14073"/>
      <w:r/>
      <w:bookmarkStart w:id="122" w:name="_Toc16259"/>
      <w:r/>
      <w:bookmarkStart w:id="123" w:name="_Toc14777"/>
      <w:r/>
      <w:bookmarkStart w:id="124" w:name="_Toc9186"/>
      <w:r>
        <w:rPr>
          <w:rFonts w:hint="eastAsia" w:ascii="宋体" w:hAnsi="宋体" w:eastAsia="宋体" w:cs="宋体"/>
          <w:b/>
          <w:bCs w:val="0"/>
          <w:color w:val="auto"/>
          <w:sz w:val="28"/>
          <w:szCs w:val="28"/>
          <w:highlight w:val="none"/>
          <w:lang w:val="en-US" w:eastAsia="zh-CN"/>
        </w:rPr>
        <w:t xml:space="preserve">八</w:t>
      </w:r>
      <w:r>
        <w:rPr>
          <w:rFonts w:hint="eastAsia" w:ascii="宋体" w:hAnsi="宋体" w:eastAsia="宋体" w:cs="宋体"/>
          <w:b/>
          <w:bCs w:val="0"/>
          <w:color w:val="auto"/>
          <w:sz w:val="28"/>
          <w:szCs w:val="28"/>
          <w:highlight w:val="none"/>
        </w:rPr>
        <w:t xml:space="preserve">、管理事项</w:t>
      </w:r>
      <w:bookmarkEnd w:id="119"/>
      <w:r/>
      <w:bookmarkEnd w:id="120"/>
      <w:r/>
      <w:bookmarkEnd w:id="121"/>
      <w:r/>
      <w:bookmarkEnd w:id="122"/>
      <w:r/>
      <w:bookmarkEnd w:id="123"/>
      <w:r/>
      <w:bookmarkEnd w:id="124"/>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lang w:val="en-US"/>
        </w:rPr>
        <w:t xml:space="preserve">9</w:t>
      </w:r>
      <w:r>
        <w:rPr>
          <w:rStyle w:val="741"/>
          <w:rFonts w:hint="eastAsia" w:ascii="宋体" w:hAnsi="宋体" w:eastAsia="宋体" w:cs="宋体"/>
          <w:b w:val="0"/>
          <w:bCs/>
          <w:color w:val="auto"/>
          <w:sz w:val="24"/>
          <w:highlight w:val="none"/>
        </w:rPr>
        <w:t xml:space="preserve">.1 按招标内容要求以及响应单位的承诺项目阐述。</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25" w:name="_Toc13968"/>
      <w:r/>
      <w:bookmarkStart w:id="126" w:name="_Toc14766"/>
      <w:r/>
      <w:bookmarkStart w:id="127" w:name="_Toc17034"/>
      <w:r/>
      <w:bookmarkStart w:id="128" w:name="_Toc25555"/>
      <w:r/>
      <w:bookmarkStart w:id="129" w:name="_Toc27540"/>
      <w:r/>
      <w:bookmarkStart w:id="130" w:name="_Toc26235"/>
      <w:r>
        <w:rPr>
          <w:rFonts w:hint="eastAsia" w:ascii="宋体" w:hAnsi="宋体" w:eastAsia="宋体" w:cs="宋体"/>
          <w:b/>
          <w:bCs w:val="0"/>
          <w:color w:val="auto"/>
          <w:sz w:val="28"/>
          <w:szCs w:val="28"/>
          <w:highlight w:val="none"/>
          <w:lang w:val="en-US" w:eastAsia="zh-CN"/>
        </w:rPr>
        <w:t xml:space="preserve">九</w:t>
      </w:r>
      <w:r>
        <w:rPr>
          <w:rFonts w:hint="eastAsia" w:ascii="宋体" w:hAnsi="宋体" w:eastAsia="宋体" w:cs="宋体"/>
          <w:b/>
          <w:bCs w:val="0"/>
          <w:color w:val="auto"/>
          <w:sz w:val="28"/>
          <w:szCs w:val="28"/>
          <w:highlight w:val="none"/>
        </w:rPr>
        <w:t xml:space="preserve">、双方权利义务</w:t>
      </w:r>
      <w:bookmarkEnd w:id="125"/>
      <w:r/>
      <w:bookmarkEnd w:id="126"/>
      <w:r/>
      <w:bookmarkEnd w:id="127"/>
      <w:r/>
      <w:bookmarkEnd w:id="128"/>
      <w:r/>
      <w:bookmarkEnd w:id="129"/>
      <w:r/>
      <w:bookmarkEnd w:id="130"/>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9.1 甲方的权利和义务</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(1)按招标文件规定向乙方支付服务费用。</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(2)负责处理非乙方原因而产生的各种纠纷。</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(3)法规、政策规定由甲方承担的其他责任。</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9.2 乙方的权利和义务</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(1)乙方所提供服务的质量应与招标文件规定及投标文件承诺的内容相一致。</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(2)乙方应独立承担服务中的各类责任（保密责任、安全责任、用工责任和经济责任等）。</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(3)法规、政策规定由乙方承担的其他责任。</w:t>
      </w:r>
      <w:r/>
    </w:p>
    <w:p>
      <w:pPr>
        <w:pStyle w:val="676"/>
        <w:ind w:firstLine="482"/>
        <w:keepLines w:val="0"/>
        <w:keepNext w:val="0"/>
        <w:pageBreakBefore w:val="0"/>
        <w:spacing w:line="360" w:lineRule="auto"/>
        <w:shd w:val="clear" w:color="auto"/>
        <w:widowControl w:val="off"/>
        <w:rPr>
          <w:rStyle w:val="741"/>
          <w:rFonts w:hint="default"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(4)本合同</w:t>
      </w:r>
      <w:r>
        <w:rPr>
          <w:rStyle w:val="741"/>
          <w:rFonts w:hint="eastAsia" w:ascii="宋体" w:hAnsi="宋体" w:cs="宋体"/>
          <w:b w:val="0"/>
          <w:bCs/>
          <w:color w:val="auto"/>
          <w:sz w:val="24"/>
          <w:highlight w:val="none"/>
          <w:lang w:val="en-US"/>
        </w:rPr>
        <w:t xml:space="preserve">履行期间</w:t>
      </w:r>
      <w:r>
        <w:rPr>
          <w:rStyle w:val="741"/>
          <w:rFonts w:hint="eastAsia" w:ascii="宋体" w:hAnsi="宋体" w:eastAsia="宋体" w:cs="宋体"/>
          <w:b w:val="0"/>
          <w:bCs/>
          <w:color w:val="auto"/>
          <w:sz w:val="24"/>
          <w:highlight w:val="none"/>
          <w:lang w:val="en-US"/>
        </w:rPr>
        <w:t xml:space="preserve">，</w:t>
      </w:r>
      <w:r>
        <w:rPr>
          <w:rStyle w:val="741"/>
          <w:rFonts w:hint="eastAsia" w:ascii="宋体" w:hAnsi="宋体" w:cs="宋体"/>
          <w:b w:val="0"/>
          <w:bCs/>
          <w:color w:val="auto"/>
          <w:sz w:val="24"/>
          <w:highlight w:val="none"/>
          <w:lang w:val="en-US"/>
        </w:rPr>
        <w:t xml:space="preserve">病人监测数据传输并存储到甲方服务器，甲方有权随时查看、调阅相关资料，监测平台完成与医院信息系统对接（含接口费）。因乙方信息系统和设备故障原因导致数据丢失、损坏等情形造成的损失由乙方全额承担。</w:t>
      </w:r>
      <w:r/>
    </w:p>
    <w:p>
      <w:pPr>
        <w:pStyle w:val="676"/>
        <w:ind w:firstLine="482"/>
        <w:keepLines w:val="0"/>
        <w:keepNext w:val="0"/>
        <w:pageBreakBefore w:val="0"/>
        <w:spacing w:line="360" w:lineRule="auto"/>
        <w:shd w:val="clear" w:color="auto"/>
        <w:widowControl w:val="off"/>
        <w:rPr>
          <w:rStyle w:val="741"/>
          <w:rFonts w:hint="eastAsia" w:ascii="宋体" w:hAnsi="宋体" w:eastAsia="宋体" w:cs="宋体"/>
          <w:b w:val="0"/>
          <w:bCs/>
          <w:color w:val="auto"/>
          <w:sz w:val="24"/>
          <w:highlight w:val="none"/>
          <w:lang w:val="en-US" w:eastAsia="zh-CN"/>
        </w:rPr>
      </w:pPr>
      <w:r/>
      <w:bookmarkStart w:id="131" w:name="_Toc17003"/>
      <w:r/>
      <w:bookmarkStart w:id="132" w:name="_Toc4203"/>
      <w:r/>
      <w:bookmarkStart w:id="133" w:name="_Toc18175"/>
      <w:r/>
      <w:bookmarkStart w:id="134" w:name="_Toc26412"/>
      <w:r/>
      <w:bookmarkStart w:id="135" w:name="_Toc17898"/>
      <w:r/>
      <w:bookmarkStart w:id="136" w:name="_Toc20771"/>
      <w:r>
        <w:rPr>
          <w:rStyle w:val="741"/>
          <w:rFonts w:hint="eastAsia" w:ascii="宋体" w:hAnsi="宋体" w:eastAsia="宋体" w:cs="宋体"/>
          <w:b w:val="0"/>
          <w:bCs/>
          <w:color w:val="auto"/>
          <w:sz w:val="24"/>
          <w:highlight w:val="none"/>
          <w:lang w:val="en-US"/>
        </w:rPr>
        <w:t xml:space="preserve">(5)</w:t>
      </w:r>
      <w:r>
        <w:rPr>
          <w:rStyle w:val="741"/>
          <w:rFonts w:hint="eastAsia" w:ascii="宋体" w:hAnsi="宋体" w:eastAsia="宋体" w:cs="宋体"/>
          <w:b w:val="0"/>
          <w:bCs/>
          <w:color w:val="auto"/>
          <w:sz w:val="24"/>
          <w:highlight w:val="none"/>
          <w:lang w:val="en-US" w:eastAsia="zh-CN"/>
        </w:rPr>
        <w:t xml:space="preserve">乙方因仪器故障、监测等原因未及时预警通知，导致患者出现意外情况（包括但不限于伤亡、患者投诉、纠纷等），乙方承担由此产生的受检者（患者）索赔等责任以及甲方的一切损失。</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rPr>
          <w:rFonts w:hint="eastAsia" w:ascii="宋体" w:hAnsi="宋体" w:eastAsia="宋体" w:cs="宋体"/>
          <w:b/>
          <w:bCs w:val="0"/>
          <w:color w:val="auto"/>
          <w:sz w:val="28"/>
          <w:szCs w:val="28"/>
          <w:highlight w:val="none"/>
        </w:rPr>
        <w:t xml:space="preserve">十、服务质量</w:t>
      </w:r>
      <w:bookmarkEnd w:id="131"/>
      <w:r/>
      <w:bookmarkEnd w:id="132"/>
      <w:r/>
      <w:bookmarkEnd w:id="133"/>
      <w:r/>
      <w:bookmarkEnd w:id="134"/>
      <w:r/>
      <w:bookmarkEnd w:id="135"/>
      <w:r/>
      <w:bookmarkEnd w:id="136"/>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0</w:t>
      </w:r>
      <w:r>
        <w:rPr>
          <w:rStyle w:val="741"/>
          <w:rFonts w:hint="eastAsia" w:ascii="宋体" w:hAnsi="宋体" w:eastAsia="宋体" w:cs="宋体"/>
          <w:b w:val="0"/>
          <w:bCs/>
          <w:color w:val="auto"/>
          <w:sz w:val="24"/>
          <w:highlight w:val="none"/>
        </w:rPr>
        <w:t xml:space="preserve">.1 乙方提供的管理服务应达到投标文件所约定的目标。对达标的理解有异议的，由双方共同认可的第三方予以评定。</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37" w:name="_Toc10152"/>
      <w:r/>
      <w:bookmarkStart w:id="138" w:name="_Toc10019"/>
      <w:r/>
      <w:bookmarkStart w:id="139" w:name="_Toc19465"/>
      <w:r/>
      <w:bookmarkStart w:id="140" w:name="_Toc484"/>
      <w:r/>
      <w:bookmarkStart w:id="141" w:name="_Toc18070"/>
      <w:r/>
      <w:bookmarkStart w:id="142" w:name="_Toc19381"/>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、违约责任</w:t>
      </w:r>
      <w:bookmarkEnd w:id="137"/>
      <w:r/>
      <w:bookmarkEnd w:id="138"/>
      <w:r/>
      <w:bookmarkEnd w:id="139"/>
      <w:r/>
      <w:bookmarkEnd w:id="140"/>
      <w:r/>
      <w:bookmarkEnd w:id="141"/>
      <w:r/>
      <w:bookmarkEnd w:id="142"/>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1</w:t>
      </w: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eastAsia="zh-CN"/>
        </w:rPr>
        <w:t xml:space="preserve"> </w:t>
      </w:r>
      <w:r>
        <w:rPr>
          <w:rStyle w:val="741"/>
          <w:rFonts w:hint="eastAsia" w:ascii="宋体" w:hAnsi="宋体" w:eastAsia="宋体" w:cs="宋体"/>
          <w:b w:val="0"/>
          <w:bCs/>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1</w:t>
      </w:r>
      <w:r>
        <w:rPr>
          <w:rStyle w:val="741"/>
          <w:rFonts w:hint="eastAsia" w:ascii="宋体" w:hAnsi="宋体" w:eastAsia="宋体" w:cs="宋体"/>
          <w:b w:val="0"/>
          <w:bCs/>
          <w:color w:val="auto"/>
          <w:sz w:val="24"/>
          <w:highlight w:val="none"/>
        </w:rPr>
        <w:t xml:space="preserve">.2</w:t>
      </w:r>
      <w:r>
        <w:rPr>
          <w:rStyle w:val="741"/>
          <w:rFonts w:hint="eastAsia" w:ascii="宋体" w:hAnsi="宋体" w:eastAsia="宋体" w:cs="宋体"/>
          <w:b w:val="0"/>
          <w:bCs/>
          <w:color w:val="auto"/>
          <w:sz w:val="24"/>
          <w:highlight w:val="none"/>
          <w:lang w:val="en-US" w:eastAsia="zh-CN"/>
        </w:rPr>
        <w:t xml:space="preserve"> </w:t>
      </w:r>
      <w:r>
        <w:rPr>
          <w:rStyle w:val="741"/>
          <w:rFonts w:hint="eastAsia" w:ascii="宋体" w:hAnsi="宋体" w:eastAsia="宋体" w:cs="宋体"/>
          <w:b w:val="0"/>
          <w:bCs/>
          <w:color w:val="auto"/>
          <w:sz w:val="24"/>
          <w:highlight w:val="none"/>
        </w:rPr>
        <w:t xml:space="preserve">甲方对乙方进行考核，按考核结果给付费用。甲方逾期办理合同款支付的</w:t>
      </w:r>
      <w:r>
        <w:rPr>
          <w:rStyle w:val="741"/>
          <w:rFonts w:hint="eastAsia" w:ascii="宋体" w:hAnsi="宋体" w:eastAsia="宋体" w:cs="宋体"/>
          <w:b w:val="0"/>
          <w:bCs/>
          <w:color w:val="auto"/>
          <w:sz w:val="24"/>
          <w:highlight w:val="none"/>
          <w:lang w:eastAsia="zh-CN"/>
        </w:rPr>
        <w:t xml:space="preserve">，</w:t>
      </w:r>
      <w:r>
        <w:rPr>
          <w:rStyle w:val="741"/>
          <w:rFonts w:hint="eastAsia" w:ascii="宋体" w:hAnsi="宋体" w:eastAsia="宋体" w:cs="宋体"/>
          <w:b w:val="0"/>
          <w:bCs/>
          <w:color w:val="auto"/>
          <w:sz w:val="24"/>
          <w:highlight w:val="none"/>
        </w:rPr>
        <w:t xml:space="preserve">应当支付逾期利息，且逾期利息的利率不得低于合同订立时1年期贷款市场报价利率。</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1</w:t>
      </w:r>
      <w:r>
        <w:rPr>
          <w:rStyle w:val="741"/>
          <w:rFonts w:hint="eastAsia" w:ascii="宋体" w:hAnsi="宋体" w:eastAsia="宋体" w:cs="宋体"/>
          <w:b w:val="0"/>
          <w:bCs/>
          <w:color w:val="auto"/>
          <w:sz w:val="24"/>
          <w:highlight w:val="none"/>
        </w:rPr>
        <w:t xml:space="preserve">.3</w:t>
      </w:r>
      <w:r>
        <w:rPr>
          <w:rStyle w:val="741"/>
          <w:rFonts w:hint="eastAsia" w:ascii="宋体" w:hAnsi="宋体" w:eastAsia="宋体" w:cs="宋体"/>
          <w:b w:val="0"/>
          <w:bCs/>
          <w:color w:val="auto"/>
          <w:sz w:val="24"/>
          <w:highlight w:val="none"/>
          <w:lang w:val="en-US" w:eastAsia="zh-CN"/>
        </w:rPr>
        <w:t xml:space="preserve"> </w:t>
      </w:r>
      <w:r>
        <w:rPr>
          <w:rStyle w:val="741"/>
          <w:rFonts w:hint="eastAsia" w:ascii="宋体" w:hAnsi="宋体" w:eastAsia="宋体" w:cs="宋体"/>
          <w:b w:val="0"/>
          <w:bCs/>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1</w:t>
      </w:r>
      <w:r>
        <w:rPr>
          <w:rStyle w:val="741"/>
          <w:rFonts w:hint="eastAsia" w:ascii="宋体" w:hAnsi="宋体" w:eastAsia="宋体" w:cs="宋体"/>
          <w:b w:val="0"/>
          <w:bCs/>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43" w:name="_Toc23796"/>
      <w:r/>
      <w:bookmarkStart w:id="144" w:name="_Toc13662"/>
      <w:r/>
      <w:bookmarkStart w:id="145" w:name="_Toc11804"/>
      <w:r/>
      <w:bookmarkStart w:id="146" w:name="_Toc2540"/>
      <w:r/>
      <w:bookmarkStart w:id="147" w:name="_Toc10381"/>
      <w:r/>
      <w:bookmarkStart w:id="148" w:name="_Toc21517"/>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、不可抗力事件处理</w:t>
      </w:r>
      <w:bookmarkEnd w:id="143"/>
      <w:r/>
      <w:bookmarkEnd w:id="144"/>
      <w:r/>
      <w:bookmarkEnd w:id="145"/>
      <w:r/>
      <w:bookmarkEnd w:id="146"/>
      <w:r/>
      <w:bookmarkEnd w:id="147"/>
      <w:r/>
      <w:bookmarkEnd w:id="148"/>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2</w:t>
      </w:r>
      <w:r>
        <w:rPr>
          <w:rStyle w:val="741"/>
          <w:rFonts w:hint="eastAsia" w:ascii="宋体" w:hAnsi="宋体" w:eastAsia="宋体" w:cs="宋体"/>
          <w:b w:val="0"/>
          <w:bCs/>
          <w:color w:val="auto"/>
          <w:sz w:val="24"/>
          <w:highlight w:val="none"/>
        </w:rPr>
        <w:t xml:space="preserve">.1 在合同有效期内，任何一方因不可抗力事件导致不能履行合同，则合同履行期可延长，其延长期与不可抗力影响期相同。</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2</w:t>
      </w:r>
      <w:r>
        <w:rPr>
          <w:rStyle w:val="741"/>
          <w:rFonts w:hint="eastAsia" w:ascii="宋体" w:hAnsi="宋体" w:eastAsia="宋体" w:cs="宋体"/>
          <w:b w:val="0"/>
          <w:bCs/>
          <w:color w:val="auto"/>
          <w:sz w:val="24"/>
          <w:highlight w:val="none"/>
        </w:rPr>
        <w:t xml:space="preserve">.2 不可抗力事件发生后，应立即通知对方，并寄送有关权威机构出具的证明。</w:t>
      </w:r>
      <w:r/>
    </w:p>
    <w:p>
      <w:pPr>
        <w:pStyle w:val="676"/>
        <w:ind w:firstLine="47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2</w:t>
      </w:r>
      <w:r>
        <w:rPr>
          <w:rStyle w:val="741"/>
          <w:rFonts w:hint="eastAsia" w:ascii="宋体" w:hAnsi="宋体" w:eastAsia="宋体" w:cs="宋体"/>
          <w:b w:val="0"/>
          <w:bCs/>
          <w:color w:val="auto"/>
          <w:sz w:val="24"/>
          <w:highlight w:val="none"/>
        </w:rPr>
        <w:t xml:space="preserve">.3 不可抗力事件延续120天以上，双方应通过友好协商，确定是否继续履行合同。</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49" w:name="_Toc21534"/>
      <w:r/>
      <w:bookmarkStart w:id="150" w:name="_Toc27126"/>
      <w:r/>
      <w:bookmarkStart w:id="151" w:name="_Toc17972"/>
      <w:r/>
      <w:bookmarkStart w:id="152" w:name="_Toc16745"/>
      <w:r/>
      <w:bookmarkStart w:id="153" w:name="_Toc3834"/>
      <w:r/>
      <w:bookmarkStart w:id="154" w:name="_Toc17789"/>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、诉讼</w:t>
      </w:r>
      <w:bookmarkEnd w:id="149"/>
      <w:r/>
      <w:bookmarkEnd w:id="150"/>
      <w:r/>
      <w:bookmarkEnd w:id="151"/>
      <w:r/>
      <w:bookmarkEnd w:id="152"/>
      <w:r/>
      <w:bookmarkEnd w:id="153"/>
      <w:r/>
      <w:bookmarkEnd w:id="154"/>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3</w:t>
      </w:r>
      <w:r>
        <w:rPr>
          <w:rStyle w:val="741"/>
          <w:rFonts w:hint="eastAsia" w:ascii="宋体" w:hAnsi="宋体" w:eastAsia="宋体" w:cs="宋体"/>
          <w:b w:val="0"/>
          <w:bCs/>
          <w:color w:val="auto"/>
          <w:sz w:val="24"/>
          <w:highlight w:val="none"/>
        </w:rPr>
        <w:t xml:space="preserve">.1 双方在执行合同中所发生的一切争议，应通过协商解决。如协商不成，可向合同签订地法院起诉。</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55" w:name="_Toc13772"/>
      <w:r/>
      <w:bookmarkStart w:id="156" w:name="_Toc21249"/>
      <w:r/>
      <w:bookmarkStart w:id="157" w:name="_Toc7865"/>
      <w:r/>
      <w:bookmarkStart w:id="158" w:name="_Toc27399"/>
      <w:r/>
      <w:bookmarkStart w:id="159" w:name="_Toc12503"/>
      <w:r/>
      <w:bookmarkStart w:id="160" w:name="_Toc6094"/>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四</w:t>
      </w:r>
      <w:r>
        <w:rPr>
          <w:rFonts w:hint="eastAsia" w:ascii="宋体" w:hAnsi="宋体" w:eastAsia="宋体" w:cs="宋体"/>
          <w:b/>
          <w:bCs w:val="0"/>
          <w:color w:val="auto"/>
          <w:sz w:val="28"/>
          <w:szCs w:val="28"/>
          <w:highlight w:val="none"/>
        </w:rPr>
        <w:t xml:space="preserve">、合同其他文件</w:t>
      </w:r>
      <w:bookmarkEnd w:id="155"/>
      <w:r/>
      <w:bookmarkEnd w:id="156"/>
      <w:r/>
      <w:bookmarkEnd w:id="157"/>
      <w:r/>
      <w:bookmarkEnd w:id="158"/>
      <w:r/>
      <w:bookmarkEnd w:id="159"/>
      <w:r/>
      <w:bookmarkEnd w:id="160"/>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4</w:t>
      </w:r>
      <w:r>
        <w:rPr>
          <w:rStyle w:val="741"/>
          <w:rFonts w:hint="eastAsia" w:ascii="宋体" w:hAnsi="宋体" w:eastAsia="宋体" w:cs="宋体"/>
          <w:b w:val="0"/>
          <w:bCs/>
          <w:color w:val="auto"/>
          <w:sz w:val="24"/>
          <w:highlight w:val="none"/>
        </w:rPr>
        <w:t xml:space="preserve">.1下列文件为本合同不可分割部份，与本合同具有同等效力。</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(1)中标通知书；</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(2)乙方中标的投标文件；</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(3)招标文件；</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(4)乙方在招投标过程中所作的其他承诺、声明、书面澄清等。</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61" w:name="_Toc5064"/>
      <w:r/>
      <w:bookmarkStart w:id="162" w:name="_Toc31947"/>
      <w:r/>
      <w:bookmarkStart w:id="163" w:name="_Toc28603"/>
      <w:r/>
      <w:bookmarkStart w:id="164" w:name="_Toc4999"/>
      <w:r/>
      <w:bookmarkStart w:id="165" w:name="_Toc18992"/>
      <w:r/>
      <w:bookmarkStart w:id="166" w:name="_Toc5430"/>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五</w:t>
      </w:r>
      <w:r>
        <w:rPr>
          <w:rFonts w:hint="eastAsia" w:ascii="宋体" w:hAnsi="宋体" w:eastAsia="宋体" w:cs="宋体"/>
          <w:b/>
          <w:bCs w:val="0"/>
          <w:color w:val="auto"/>
          <w:sz w:val="28"/>
          <w:szCs w:val="28"/>
          <w:highlight w:val="none"/>
        </w:rPr>
        <w:t xml:space="preserve">、合同生效及其它</w:t>
      </w:r>
      <w:bookmarkEnd w:id="161"/>
      <w:r/>
      <w:bookmarkEnd w:id="162"/>
      <w:r/>
      <w:bookmarkEnd w:id="163"/>
      <w:r/>
      <w:bookmarkEnd w:id="164"/>
      <w:r/>
      <w:bookmarkEnd w:id="165"/>
      <w:r/>
      <w:bookmarkEnd w:id="166"/>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5</w:t>
      </w:r>
      <w:r>
        <w:rPr>
          <w:rStyle w:val="741"/>
          <w:rFonts w:hint="eastAsia" w:ascii="宋体" w:hAnsi="宋体" w:eastAsia="宋体" w:cs="宋体"/>
          <w:b w:val="0"/>
          <w:bCs/>
          <w:color w:val="auto"/>
          <w:sz w:val="24"/>
          <w:highlight w:val="none"/>
        </w:rPr>
        <w:t xml:space="preserve">.1合同经双方法定代表人（或负责人）或授权委托代表人签字并加盖单位公章后生效。</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1</w:t>
      </w:r>
      <w:r>
        <w:rPr>
          <w:rStyle w:val="741"/>
          <w:rFonts w:hint="eastAsia" w:ascii="宋体" w:hAnsi="宋体" w:eastAsia="宋体" w:cs="宋体"/>
          <w:b w:val="0"/>
          <w:bCs/>
          <w:color w:val="auto"/>
          <w:sz w:val="24"/>
          <w:highlight w:val="none"/>
          <w:lang w:val="en-US"/>
        </w:rPr>
        <w:t xml:space="preserve">5</w:t>
      </w:r>
      <w:r>
        <w:rPr>
          <w:rStyle w:val="741"/>
          <w:rFonts w:hint="eastAsia" w:ascii="宋体" w:hAnsi="宋体" w:eastAsia="宋体" w:cs="宋体"/>
          <w:b w:val="0"/>
          <w:bCs/>
          <w:color w:val="auto"/>
          <w:sz w:val="24"/>
          <w:highlight w:val="none"/>
        </w:rPr>
        <w:t xml:space="preserve">.2 本合同未尽事宜，遵照《</w:t>
      </w:r>
      <w:r>
        <w:rPr>
          <w:rStyle w:val="741"/>
          <w:rFonts w:hint="eastAsia" w:ascii="宋体" w:hAnsi="宋体" w:eastAsia="宋体" w:cs="宋体"/>
          <w:b w:val="0"/>
          <w:bCs/>
          <w:color w:val="auto"/>
          <w:sz w:val="24"/>
          <w:highlight w:val="none"/>
        </w:rPr>
        <w:t xml:space="preserve">中华人民共和国民法典</w:t>
      </w:r>
      <w:r>
        <w:rPr>
          <w:rStyle w:val="741"/>
          <w:rFonts w:hint="eastAsia" w:ascii="宋体" w:hAnsi="宋体" w:eastAsia="宋体" w:cs="宋体"/>
          <w:b w:val="0"/>
          <w:bCs/>
          <w:color w:val="auto"/>
          <w:sz w:val="24"/>
          <w:highlight w:val="none"/>
        </w:rPr>
        <w:t xml:space="preserve">》合同编经甲乙双方协商一致可签订补充协议。</w:t>
      </w:r>
      <w:r/>
    </w:p>
    <w:p>
      <w:pPr>
        <w:pStyle w:val="676"/>
        <w:ind w:firstLine="480"/>
        <w:keepLines w:val="0"/>
        <w:keepNext w:val="0"/>
        <w:pageBreakBefore w:val="0"/>
        <w:spacing w:line="360" w:lineRule="auto"/>
        <w:shd w:val="clear" w:color="auto"/>
        <w:rPr>
          <w:rStyle w:val="741"/>
          <w:rFonts w:hint="eastAsia" w:ascii="宋体" w:hAnsi="宋体" w:eastAsia="宋体" w:cs="宋体"/>
          <w:b w:val="0"/>
          <w:bCs/>
          <w:color w:val="auto"/>
          <w:sz w:val="24"/>
          <w:highlight w:val="none"/>
          <w:lang w:val="en-US"/>
        </w:rPr>
      </w:pPr>
      <w:r>
        <w:rPr>
          <w:rStyle w:val="741"/>
          <w:rFonts w:hint="eastAsia" w:ascii="宋体" w:hAnsi="宋体" w:eastAsia="宋体" w:cs="宋体"/>
          <w:b w:val="0"/>
          <w:bCs/>
          <w:color w:val="auto"/>
          <w:sz w:val="24"/>
          <w:highlight w:val="none"/>
          <w:lang w:val="en-US"/>
        </w:rPr>
        <w:t xml:space="preserve">15.3 本合同正本一式</w:t>
      </w:r>
      <w:r>
        <w:rPr>
          <w:rStyle w:val="741"/>
          <w:rFonts w:hint="eastAsia" w:ascii="宋体" w:hAnsi="宋体" w:cs="宋体"/>
          <w:b w:val="0"/>
          <w:bCs/>
          <w:color w:val="auto"/>
          <w:sz w:val="24"/>
          <w:highlight w:val="none"/>
          <w:lang w:val="en-US"/>
        </w:rPr>
        <w:t xml:space="preserve">肆</w:t>
      </w:r>
      <w:r>
        <w:rPr>
          <w:rStyle w:val="741"/>
          <w:rFonts w:hint="eastAsia" w:ascii="宋体" w:hAnsi="宋体" w:eastAsia="宋体" w:cs="宋体"/>
          <w:b w:val="0"/>
          <w:bCs/>
          <w:color w:val="auto"/>
          <w:sz w:val="24"/>
          <w:highlight w:val="none"/>
          <w:lang w:val="en-US"/>
        </w:rPr>
        <w:t xml:space="preserve">份，具有同等法律效力，甲方执三份，乙方一份。</w:t>
      </w:r>
      <w:r/>
    </w:p>
    <w:p>
      <w:pPr>
        <w:pStyle w:val="677"/>
        <w:rPr>
          <w:rFonts w:hint="eastAsia"/>
          <w:b w:val="0"/>
          <w:bCs/>
          <w:color w:val="auto"/>
          <w:highlight w:val="none"/>
          <w:lang w:val="en-US"/>
        </w:rPr>
      </w:pPr>
      <w:r>
        <w:rPr>
          <w:rFonts w:hint="eastAsia"/>
          <w:b w:val="0"/>
          <w:bCs/>
          <w:color w:val="auto"/>
          <w:highlight w:val="none"/>
          <w:lang w:val="en-US"/>
        </w:rPr>
      </w:r>
      <w:r/>
    </w:p>
    <w:tbl>
      <w:tblPr>
        <w:tblStyle w:val="667"/>
        <w:tblW w:w="92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02"/>
      </w:tblGrid>
      <w:tr>
        <w:trPr>
          <w:jc w:val="center"/>
          <w:trHeight w:val="90"/>
        </w:trPr>
        <w:tc>
          <w:tcPr>
            <w:tcW w:w="9202" w:type="dxa"/>
            <w:textDirection w:val="lrTb"/>
            <w:noWrap w:val="false"/>
          </w:tcPr>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甲方：</w:t>
            </w:r>
            <w:bookmarkStart w:id="167" w:name="jianshedanwei_2"/>
            <w:r/>
            <w:bookmarkEnd w:id="167"/>
            <w:r/>
            <w:r/>
          </w:p>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地址：</w:t>
            </w:r>
            <w:bookmarkStart w:id="168" w:name="jianshedanweiaddress"/>
            <w:r/>
            <w:bookmarkEnd w:id="168"/>
            <w:r/>
            <w:r/>
          </w:p>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法定代表人或授权代表：</w:t>
            </w:r>
            <w:bookmarkStart w:id="169" w:name="jianshedanweifaren"/>
            <w:r/>
            <w:bookmarkEnd w:id="169"/>
            <w:r/>
            <w:r/>
          </w:p>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联系电话：</w:t>
            </w:r>
            <w:bookmarkStart w:id="170" w:name="jianshedanweifarentel"/>
            <w:r/>
            <w:bookmarkEnd w:id="170"/>
            <w:r/>
            <w:r/>
          </w:p>
          <w:p>
            <w:pPr>
              <w:pStyle w:val="676"/>
              <w:ind w:firstLine="0"/>
              <w:spacing w:after="0" w:line="360" w:lineRule="auto"/>
              <w:shd w:val="clear" w:color="auto"/>
              <w:rPr>
                <w:rStyle w:val="741"/>
                <w:rFonts w:hint="eastAsia" w:ascii="宋体" w:hAnsi="宋体" w:eastAsia="宋体" w:cs="宋体"/>
                <w:b w:val="0"/>
                <w:bCs/>
                <w:color w:val="auto"/>
                <w:sz w:val="24"/>
                <w:highlight w:val="none"/>
                <w:vertAlign w:val="baseline"/>
              </w:rPr>
            </w:pPr>
            <w:r>
              <w:rPr>
                <w:rStyle w:val="741"/>
                <w:rFonts w:hint="eastAsia" w:ascii="宋体" w:hAnsi="宋体" w:eastAsia="宋体" w:cs="宋体"/>
                <w:b w:val="0"/>
                <w:bCs/>
                <w:color w:val="auto"/>
                <w:sz w:val="24"/>
                <w:highlight w:val="none"/>
              </w:rPr>
              <w:t xml:space="preserve">签订日期：</w:t>
            </w:r>
            <w:bookmarkStart w:id="171" w:name="jiafangqiandingdate"/>
            <w:r>
              <w:rPr>
                <w:rStyle w:val="741"/>
                <w:rFonts w:hint="eastAsia" w:ascii="宋体" w:hAnsi="宋体" w:eastAsia="宋体" w:cs="宋体"/>
                <w:b w:val="0"/>
                <w:bCs/>
                <w:color w:val="auto"/>
                <w:sz w:val="24"/>
                <w:highlight w:val="none"/>
              </w:rPr>
              <w:t xml:space="preserve">      年    月  日</w:t>
            </w:r>
            <w:bookmarkEnd w:id="171"/>
            <w:r/>
            <w:r/>
          </w:p>
        </w:tc>
      </w:tr>
      <w:tr>
        <w:trPr>
          <w:jc w:val="center"/>
          <w:trHeight w:val="90"/>
        </w:trPr>
        <w:tc>
          <w:tcPr>
            <w:tcW w:w="9202" w:type="dxa"/>
            <w:textDirection w:val="lrTb"/>
            <w:noWrap w:val="false"/>
          </w:tcPr>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乙方：</w:t>
            </w:r>
            <w:bookmarkStart w:id="172" w:name="zhongbiaodanweiname_2"/>
            <w:r/>
            <w:bookmarkEnd w:id="172"/>
            <w:r/>
            <w:r/>
          </w:p>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地址：</w:t>
            </w:r>
            <w:bookmarkStart w:id="173" w:name="zhongbiaodanweiaddress"/>
            <w:r/>
            <w:bookmarkEnd w:id="173"/>
            <w:r/>
            <w:r/>
          </w:p>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法定代表人（或负责人）或授权代表：</w:t>
            </w:r>
            <w:bookmarkStart w:id="174" w:name="zhongbiaodanweifaren"/>
            <w:r/>
            <w:bookmarkEnd w:id="174"/>
            <w:r/>
            <w:r/>
          </w:p>
          <w:p>
            <w:pPr>
              <w:pStyle w:val="676"/>
              <w:ind w:firstLine="0"/>
              <w:spacing w:after="0" w:line="360" w:lineRule="auto"/>
              <w:shd w:val="clear" w:color="auto"/>
              <w:rPr>
                <w:rStyle w:val="741"/>
                <w:rFonts w:hint="eastAsia" w:ascii="宋体" w:hAnsi="宋体" w:eastAsia="宋体" w:cs="宋体"/>
                <w:b w:val="0"/>
                <w:bCs/>
                <w:color w:val="auto"/>
                <w:sz w:val="24"/>
                <w:highlight w:val="none"/>
              </w:rPr>
            </w:pPr>
            <w:r>
              <w:rPr>
                <w:rStyle w:val="741"/>
                <w:rFonts w:hint="eastAsia" w:ascii="宋体" w:hAnsi="宋体" w:eastAsia="宋体" w:cs="宋体"/>
                <w:b w:val="0"/>
                <w:bCs/>
                <w:color w:val="auto"/>
                <w:sz w:val="24"/>
                <w:highlight w:val="none"/>
              </w:rPr>
              <w:t xml:space="preserve">联系电话：</w:t>
            </w:r>
            <w:bookmarkStart w:id="175" w:name="zhongbiaodanweifarentel"/>
            <w:r/>
            <w:bookmarkEnd w:id="175"/>
            <w:r/>
            <w:r/>
          </w:p>
          <w:p>
            <w:pPr>
              <w:pStyle w:val="676"/>
              <w:ind w:firstLine="0"/>
              <w:spacing w:after="0" w:line="360" w:lineRule="auto"/>
              <w:shd w:val="clear" w:color="auto"/>
              <w:rPr>
                <w:rFonts w:hint="eastAsia"/>
                <w:b w:val="0"/>
                <w:bCs/>
                <w:color w:val="auto"/>
                <w:highlight w:val="none"/>
              </w:rPr>
            </w:pPr>
            <w:r>
              <w:rPr>
                <w:rStyle w:val="741"/>
                <w:rFonts w:hint="eastAsia" w:ascii="宋体" w:hAnsi="宋体" w:eastAsia="宋体" w:cs="宋体"/>
                <w:b w:val="0"/>
                <w:bCs/>
                <w:color w:val="auto"/>
                <w:sz w:val="24"/>
                <w:highlight w:val="none"/>
              </w:rPr>
              <w:t xml:space="preserve">签订日期： </w:t>
            </w:r>
            <w:bookmarkStart w:id="176" w:name="yifangqiandingdate"/>
            <w:r>
              <w:rPr>
                <w:rStyle w:val="741"/>
                <w:rFonts w:hint="eastAsia" w:ascii="宋体" w:hAnsi="宋体" w:eastAsia="宋体" w:cs="宋体"/>
                <w:b w:val="0"/>
                <w:bCs/>
                <w:color w:val="auto"/>
                <w:sz w:val="24"/>
                <w:highlight w:val="none"/>
              </w:rPr>
              <w:t xml:space="preserve">     年    月  日</w:t>
            </w:r>
            <w:bookmarkEnd w:id="176"/>
            <w:r/>
            <w:r/>
          </w:p>
        </w:tc>
      </w:tr>
    </w:tbl>
    <w:p>
      <w:pPr>
        <w:pStyle w:val="684"/>
        <w:ind w:firstLine="200"/>
        <w:spacing w:line="360" w:lineRule="auto"/>
        <w:rPr>
          <w:rFonts w:hint="eastAsia" w:hAnsi="宋体"/>
          <w:color w:val="auto"/>
          <w:sz w:val="24"/>
          <w:szCs w:val="24"/>
          <w:highlight w:val="none"/>
        </w:rPr>
      </w:pPr>
      <w:r>
        <w:rPr>
          <w:rFonts w:hint="eastAsia" w:hAnsi="宋体"/>
          <w:color w:val="auto"/>
          <w:sz w:val="24"/>
          <w:szCs w:val="24"/>
          <w:highlight w:val="none"/>
        </w:rPr>
      </w:r>
      <w:bookmarkEnd w:id="70"/>
      <w:r/>
    </w:p>
    <w:p>
      <w:pPr>
        <w:jc w:val="center"/>
        <w:keepLines/>
        <w:keepNext/>
        <w:pageBreakBefore w:val="0"/>
        <w:spacing w:line="360" w:lineRule="auto"/>
        <w:rPr>
          <w:rFonts w:hint="eastAsia"/>
          <w:b/>
          <w:color w:val="auto"/>
          <w:sz w:val="44"/>
          <w:szCs w:val="44"/>
          <w:highlight w:val="none"/>
        </w:rPr>
        <w:outlineLvl w:val="0"/>
      </w:pPr>
      <w:r/>
      <w:bookmarkStart w:id="177" w:name="_Toc514054483"/>
      <w:r/>
      <w:bookmarkStart w:id="178" w:name="_Toc12366"/>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both"/>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both"/>
        <w:keepLines/>
        <w:keepNext/>
        <w:pageBreakBefore w:val="0"/>
        <w:spacing w:line="360" w:lineRule="auto"/>
        <w:rPr>
          <w:rFonts w:hint="eastAsia"/>
          <w:b/>
          <w:color w:val="auto"/>
          <w:sz w:val="21"/>
          <w:szCs w:val="21"/>
          <w:highlight w:val="none"/>
        </w:rPr>
        <w:outlineLvl w:val="0"/>
      </w:pPr>
      <w:r>
        <w:rPr>
          <w:rFonts w:hint="eastAsia"/>
          <w:b/>
          <w:color w:val="auto"/>
          <w:sz w:val="21"/>
          <w:szCs w:val="21"/>
          <w:highlight w:val="none"/>
        </w:rPr>
      </w:r>
      <w:r/>
    </w:p>
    <w:p>
      <w:pPr>
        <w:jc w:val="center"/>
        <w:keepLines/>
        <w:keepNext/>
        <w:pageBreakBefore w:val="0"/>
        <w:spacing w:line="240" w:lineRule="auto"/>
        <w:rPr>
          <w:rFonts w:hint="eastAsia"/>
          <w:b/>
          <w:color w:val="auto"/>
          <w:sz w:val="44"/>
          <w:szCs w:val="44"/>
          <w:highlight w:val="none"/>
        </w:rPr>
        <w:outlineLvl w:val="0"/>
      </w:pPr>
      <w:r>
        <w:rPr>
          <w:rFonts w:hint="eastAsia"/>
          <w:b/>
          <w:color w:val="auto"/>
          <w:sz w:val="44"/>
          <w:szCs w:val="44"/>
          <w:highlight w:val="none"/>
        </w:rPr>
      </w:r>
      <w:r/>
    </w:p>
    <w:p>
      <w:pPr>
        <w:rPr>
          <w:rFonts w:hint="eastAsia"/>
          <w:b/>
          <w:color w:val="auto"/>
          <w:sz w:val="44"/>
          <w:szCs w:val="44"/>
          <w:highlight w:val="none"/>
        </w:rPr>
      </w:pPr>
      <w:r>
        <w:rPr>
          <w:rFonts w:hint="eastAsia"/>
          <w:b/>
          <w:color w:val="auto"/>
          <w:sz w:val="44"/>
          <w:szCs w:val="44"/>
          <w:highlight w:val="none"/>
        </w:rPr>
        <w:br w:type="page" w:clear="all"/>
      </w:r>
      <w:r/>
    </w:p>
    <w:p>
      <w:pPr>
        <w:jc w:val="center"/>
        <w:keepLines/>
        <w:keepNext/>
        <w:pageBreakBefore w:val="0"/>
        <w:spacing w:line="24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24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177"/>
      <w:r/>
      <w:bookmarkEnd w:id="178"/>
      <w:r/>
      <w:r/>
    </w:p>
    <w:p>
      <w:pPr>
        <w:spacing w:line="360" w:lineRule="auto"/>
        <w:rPr>
          <w:color w:val="auto"/>
          <w:highlight w:val="none"/>
        </w:rPr>
      </w:pPr>
      <w:r>
        <w:rPr>
          <w:color w:val="auto"/>
          <w:highlight w:val="none"/>
        </w:rPr>
      </w:r>
      <w:r/>
    </w:p>
    <w:p>
      <w:pPr>
        <w:pStyle w:val="685"/>
        <w:ind w:firstLine="321"/>
        <w:jc w:val="center"/>
        <w:spacing w:line="360" w:lineRule="auto"/>
        <w:rPr>
          <w:color w:val="auto"/>
          <w:highlight w:val="none"/>
        </w:rPr>
        <w:outlineLvl w:val="1"/>
      </w:pPr>
      <w:r/>
      <w:bookmarkStart w:id="179" w:name="_Toc26779"/>
      <w:r/>
      <w:bookmarkStart w:id="180" w:name="_Toc514054484"/>
      <w:r>
        <w:rPr>
          <w:color w:val="auto"/>
          <w:highlight w:val="none"/>
        </w:rPr>
        <w:t xml:space="preserve">封面</w:t>
      </w:r>
      <w:bookmarkEnd w:id="179"/>
      <w:r/>
      <w:bookmarkEnd w:id="180"/>
      <w:r/>
      <w:r/>
    </w:p>
    <w:p>
      <w:pPr>
        <w:pStyle w:val="686"/>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686"/>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686"/>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686"/>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686"/>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686"/>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686"/>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686"/>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686"/>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686"/>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686"/>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686"/>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686"/>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686"/>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686"/>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686"/>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spacing w:line="360" w:lineRule="auto"/>
        <w:rPr>
          <w:color w:val="auto"/>
          <w:highlight w:val="none"/>
        </w:rPr>
      </w:pPr>
      <w:r>
        <w:rPr>
          <w:color w:val="auto"/>
          <w:highlight w:val="none"/>
        </w:rPr>
      </w:r>
      <w:r/>
    </w:p>
    <w:p>
      <w:pPr>
        <w:pStyle w:val="687"/>
        <w:jc w:val="center"/>
        <w:spacing w:line="360" w:lineRule="auto"/>
        <w:rPr>
          <w:color w:val="auto"/>
          <w:highlight w:val="none"/>
        </w:rPr>
        <w:outlineLvl w:val="1"/>
      </w:pPr>
      <w:r>
        <w:rPr>
          <w:color w:val="auto"/>
          <w:highlight w:val="none"/>
        </w:rPr>
        <w:br w:type="page" w:clear="all"/>
      </w:r>
      <w:bookmarkStart w:id="181" w:name="_Toc11482"/>
      <w:r/>
      <w:bookmarkStart w:id="182" w:name="_Toc514054485"/>
      <w:r/>
      <w:r/>
    </w:p>
    <w:p>
      <w:pPr>
        <w:pStyle w:val="687"/>
        <w:jc w:val="center"/>
        <w:spacing w:line="360" w:lineRule="auto"/>
        <w:rPr>
          <w:color w:val="auto"/>
          <w:highlight w:val="none"/>
        </w:rPr>
        <w:outlineLvl w:val="1"/>
      </w:pPr>
      <w:r>
        <w:rPr>
          <w:color w:val="auto"/>
          <w:highlight w:val="none"/>
        </w:rPr>
      </w:r>
      <w:r/>
    </w:p>
    <w:p>
      <w:pPr>
        <w:pStyle w:val="687"/>
        <w:jc w:val="center"/>
        <w:spacing w:line="360" w:lineRule="auto"/>
        <w:rPr>
          <w:color w:val="auto"/>
          <w:highlight w:val="none"/>
        </w:rPr>
        <w:outlineLvl w:val="1"/>
      </w:pPr>
      <w:r>
        <w:rPr>
          <w:color w:val="auto"/>
          <w:highlight w:val="none"/>
        </w:rPr>
        <w:t xml:space="preserve">目</w:t>
      </w:r>
      <w:r>
        <w:rPr>
          <w:rFonts w:hint="eastAsia"/>
          <w:color w:val="auto"/>
          <w:highlight w:val="none"/>
          <w:lang w:val="en-US" w:eastAsia="zh-CN"/>
        </w:rPr>
        <w:t xml:space="preserve">  </w:t>
      </w:r>
      <w:r>
        <w:rPr>
          <w:color w:val="auto"/>
          <w:highlight w:val="none"/>
        </w:rPr>
        <w:t xml:space="preserve">录</w:t>
      </w:r>
      <w:bookmarkEnd w:id="181"/>
      <w:r/>
      <w:bookmarkEnd w:id="182"/>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一、投标人基本情况</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二、投标人资质</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688"/>
        <w:keepLines w:val="0"/>
        <w:keepNext w:val="0"/>
        <w:pageBreakBefore w:val="0"/>
        <w:spacing w:after="100" w:afterAutospacing="1" w:line="400" w:lineRule="exact"/>
        <w:widowControl/>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六、无重大违法行为声明</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七、投标函</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八、法定代表人身份证明或授权委托书</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九、开标一览表</w:t>
      </w:r>
      <w:r/>
    </w:p>
    <w:p>
      <w:pPr>
        <w:pStyle w:val="688"/>
        <w:keepLines w:val="0"/>
        <w:keepNext w:val="0"/>
        <w:pageBreakBefore w:val="0"/>
        <w:spacing w:after="100" w:afterAutospacing="1" w:line="400" w:lineRule="exact"/>
        <w:widowControl/>
        <w:rPr>
          <w:color w:val="auto"/>
          <w:highlight w:val="none"/>
        </w:rPr>
      </w:pPr>
      <w:r>
        <w:rPr>
          <w:rFonts w:hint="eastAsia" w:ascii="宋体" w:hAnsi="宋体" w:eastAsia="宋体" w:cs="宋体"/>
          <w:color w:val="auto"/>
          <w:highlight w:val="none"/>
          <w:lang w:val="en-US" w:eastAsia="zh-CN"/>
        </w:rPr>
        <w:t xml:space="preserve">十</w:t>
      </w:r>
      <w:r>
        <w:rPr>
          <w:rFonts w:ascii="宋体" w:hAnsi="宋体" w:eastAsia="宋体" w:cs="宋体"/>
          <w:color w:val="auto"/>
          <w:highlight w:val="none"/>
        </w:rPr>
        <w:t xml:space="preserve">、中小企业声明函</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ascii="宋体" w:hAnsi="宋体" w:eastAsia="宋体" w:cs="宋体"/>
          <w:color w:val="auto"/>
          <w:highlight w:val="none"/>
        </w:rPr>
        <w:t xml:space="preserve">、响应偏差表</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ascii="宋体" w:hAnsi="宋体" w:eastAsia="宋体" w:cs="宋体"/>
          <w:color w:val="auto"/>
          <w:highlight w:val="none"/>
        </w:rPr>
        <w:t xml:space="preserve">、</w:t>
      </w:r>
      <w:bookmarkStart w:id="183"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183"/>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ascii="宋体" w:hAnsi="宋体" w:eastAsia="宋体" w:cs="宋体"/>
          <w:color w:val="auto"/>
          <w:highlight w:val="none"/>
        </w:rPr>
        <w:t xml:space="preserve">、项目业绩一览表</w:t>
      </w:r>
      <w:r/>
    </w:p>
    <w:p>
      <w:pPr>
        <w:pStyle w:val="688"/>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ascii="宋体" w:hAnsi="宋体" w:eastAsia="宋体" w:cs="宋体"/>
          <w:color w:val="auto"/>
          <w:highlight w:val="none"/>
        </w:rPr>
        <w:t xml:space="preserve">、投标所需其他材料</w:t>
      </w:r>
      <w:r/>
    </w:p>
    <w:p>
      <w:pPr>
        <w:pStyle w:val="689"/>
        <w:spacing w:line="360" w:lineRule="auto"/>
        <w:rPr>
          <w:color w:val="auto"/>
          <w:highlight w:val="none"/>
        </w:rPr>
        <w:outlineLvl w:val="1"/>
      </w:pPr>
      <w:r>
        <w:rPr>
          <w:color w:val="auto"/>
          <w:highlight w:val="none"/>
        </w:rPr>
        <w:br w:type="page" w:clear="all"/>
      </w:r>
      <w:bookmarkStart w:id="184" w:name="_Toc23205_WPSOffice_Level2"/>
      <w:r/>
      <w:bookmarkStart w:id="185" w:name="_Toc21292"/>
      <w:r/>
      <w:bookmarkStart w:id="186" w:name="_Toc514054486"/>
      <w:r>
        <w:rPr>
          <w:color w:val="auto"/>
          <w:highlight w:val="none"/>
        </w:rPr>
        <w:t xml:space="preserve">一、投标人基本情况</w:t>
      </w:r>
      <w:bookmarkEnd w:id="184"/>
      <w:r/>
      <w:bookmarkEnd w:id="185"/>
      <w:r/>
      <w:bookmarkEnd w:id="186"/>
      <w:r/>
      <w:r/>
    </w:p>
    <w:p>
      <w:pPr>
        <w:pStyle w:val="690"/>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690"/>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690"/>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690"/>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691"/>
        <w:spacing w:line="360" w:lineRule="auto"/>
        <w:rPr>
          <w:rFonts w:hint="eastAsia"/>
          <w:color w:val="auto"/>
          <w:highlight w:val="none"/>
        </w:rPr>
        <w:outlineLvl w:val="1"/>
      </w:pPr>
      <w:r>
        <w:rPr>
          <w:color w:val="auto"/>
          <w:highlight w:val="none"/>
        </w:rPr>
        <w:br w:type="page" w:clear="all"/>
      </w:r>
      <w:bookmarkStart w:id="187" w:name="_Toc30260_WPSOffice_Level2"/>
      <w:r/>
      <w:bookmarkStart w:id="188" w:name="_Toc514054487"/>
      <w:r/>
      <w:bookmarkStart w:id="189"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187"/>
      <w:r/>
      <w:bookmarkEnd w:id="188"/>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189"/>
      <w:r/>
      <w:r/>
    </w:p>
    <w:p>
      <w:pPr>
        <w:pStyle w:val="692"/>
        <w:spacing w:line="360" w:lineRule="auto"/>
        <w:rPr>
          <w:rFonts w:hint="eastAsia"/>
          <w:color w:val="auto"/>
          <w:highlight w:val="none"/>
        </w:rPr>
      </w:pPr>
      <w:r>
        <w:rPr>
          <w:rFonts w:hint="eastAsia"/>
          <w:color w:val="auto"/>
          <w:highlight w:val="none"/>
        </w:rPr>
        <w:t xml:space="preserve">    </w:t>
      </w:r>
      <w:bookmarkStart w:id="190" w:name="_Toc514054488"/>
      <w:r/>
      <w:bookmarkStart w:id="191" w:name="_Toc21452_WPSOffice_Level2"/>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rFonts w:hint="eastAsia"/>
          <w:color w:val="auto"/>
          <w:highlight w:val="none"/>
        </w:rPr>
      </w:pPr>
      <w:r>
        <w:rPr>
          <w:rFonts w:hint="eastAsia"/>
          <w:color w:val="auto"/>
          <w:highlight w:val="none"/>
        </w:rPr>
      </w:r>
      <w:r/>
    </w:p>
    <w:p>
      <w:pPr>
        <w:pStyle w:val="692"/>
        <w:spacing w:line="360" w:lineRule="auto"/>
        <w:rPr>
          <w:color w:val="auto"/>
          <w:highlight w:val="none"/>
        </w:rPr>
        <w:outlineLvl w:val="1"/>
      </w:pPr>
      <w:r/>
      <w:bookmarkStart w:id="192" w:name="_Toc18935"/>
      <w:r>
        <w:rPr>
          <w:color w:val="auto"/>
          <w:highlight w:val="none"/>
        </w:rPr>
        <w:t xml:space="preserve">三、投标人</w:t>
      </w:r>
      <w:bookmarkEnd w:id="190"/>
      <w:r/>
      <w:bookmarkEnd w:id="191"/>
      <w:r/>
      <w:bookmarkEnd w:id="192"/>
      <w:r>
        <w:rPr>
          <w:rFonts w:hint="eastAsia" w:ascii="宋体" w:hAnsi="宋体" w:cs="Arial"/>
          <w:bCs/>
          <w:color w:val="auto"/>
          <w:highlight w:val="none"/>
        </w:rPr>
        <w:t xml:space="preserve">具有良好的商业信誉和健全的财务会计制度</w:t>
      </w:r>
      <w:r/>
    </w:p>
    <w:p>
      <w:pPr>
        <w:pStyle w:val="693"/>
        <w:spacing w:line="360" w:lineRule="auto"/>
        <w:rPr>
          <w:color w:val="auto"/>
          <w:highlight w:val="none"/>
        </w:rPr>
      </w:pPr>
      <w:r>
        <w:rPr>
          <w:rFonts w:hint="eastAsia" w:ascii="宋体"/>
          <w:bCs/>
          <w:color w:val="auto"/>
          <w:szCs w:val="32"/>
          <w:highlight w:val="none"/>
        </w:rPr>
        <w:t xml:space="preserve">提供符合招标文件要求的资料</w:t>
      </w:r>
      <w:r/>
    </w:p>
    <w:p>
      <w:pPr>
        <w:pStyle w:val="694"/>
        <w:spacing w:line="360" w:lineRule="auto"/>
        <w:rPr>
          <w:color w:val="auto"/>
          <w:highlight w:val="none"/>
        </w:rPr>
        <w:outlineLvl w:val="1"/>
      </w:pPr>
      <w:r>
        <w:rPr>
          <w:color w:val="auto"/>
          <w:highlight w:val="none"/>
        </w:rPr>
        <w:br w:type="page" w:clear="all"/>
      </w:r>
      <w:bookmarkStart w:id="193" w:name="_Toc11562_WPSOffice_Level2"/>
      <w:r/>
      <w:bookmarkStart w:id="194" w:name="_Toc29626"/>
      <w:r/>
      <w:bookmarkStart w:id="195" w:name="_Toc514054489"/>
      <w:r>
        <w:rPr>
          <w:color w:val="auto"/>
          <w:highlight w:val="none"/>
        </w:rPr>
        <w:t xml:space="preserve">四、</w:t>
      </w:r>
      <w:bookmarkEnd w:id="193"/>
      <w:r/>
      <w:bookmarkEnd w:id="194"/>
      <w:r/>
      <w:bookmarkEnd w:id="195"/>
      <w:r>
        <w:rPr>
          <w:rFonts w:hint="eastAsia" w:ascii="宋体" w:hAnsi="宋体" w:cs="Arial"/>
          <w:bCs/>
          <w:color w:val="auto"/>
          <w:highlight w:val="none"/>
        </w:rPr>
        <w:t xml:space="preserve">具有履行合同所必需的设备和专业技术能力</w:t>
      </w:r>
      <w:r/>
    </w:p>
    <w:p>
      <w:pPr>
        <w:pStyle w:val="695"/>
        <w:jc w:val="center"/>
        <w:spacing w:line="360" w:lineRule="auto"/>
        <w:rPr>
          <w:rFonts w:hint="eastAsia" w:ascii="宋体" w:hAnsi="宋体"/>
          <w:b/>
          <w:color w:val="auto"/>
          <w:sz w:val="32"/>
          <w:szCs w:val="24"/>
          <w:highlight w:val="none"/>
        </w:rPr>
      </w:pPr>
      <w:r/>
      <w:bookmarkStart w:id="196" w:name="_Toc31740_WPSOffice_Level2"/>
      <w:r/>
      <w:r/>
    </w:p>
    <w:p>
      <w:pPr>
        <w:pStyle w:val="695"/>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196"/>
      <w:r/>
      <w:r/>
    </w:p>
    <w:p>
      <w:pPr>
        <w:pStyle w:val="695"/>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695"/>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695"/>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695"/>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695"/>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695"/>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696"/>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697"/>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688"/>
        <w:spacing w:after="100" w:afterAutospacing="1" w:line="360" w:lineRule="auto"/>
        <w:rPr>
          <w:rFonts w:hint="eastAsia" w:ascii="宋体" w:hAnsi="宋体" w:cs="Arial"/>
          <w:bCs/>
          <w:color w:val="auto"/>
          <w:highlight w:val="none"/>
        </w:rPr>
      </w:pPr>
      <w:r>
        <w:rPr>
          <w:color w:val="auto"/>
          <w:highlight w:val="none"/>
        </w:rPr>
        <w:br w:type="page" w:clear="all"/>
      </w:r>
      <w:bookmarkStart w:id="197" w:name="_Toc467_WPSOffice_Level2"/>
      <w:r/>
      <w:bookmarkStart w:id="198" w:name="_Toc514054490"/>
      <w:r/>
      <w:bookmarkStart w:id="199" w:name="_Toc13419"/>
      <w:r>
        <w:rPr>
          <w:rFonts w:hint="eastAsia" w:ascii="宋体" w:hAnsi="宋体" w:eastAsia="黑体" w:cs="Arial"/>
          <w:b/>
          <w:bCs/>
          <w:color w:val="auto"/>
          <w:sz w:val="32"/>
          <w:highlight w:val="none"/>
        </w:rPr>
        <w:t xml:space="preserve">五、</w:t>
      </w:r>
      <w:bookmarkEnd w:id="197"/>
      <w:r/>
      <w:bookmarkEnd w:id="198"/>
      <w:r/>
      <w:bookmarkEnd w:id="199"/>
      <w:r>
        <w:rPr>
          <w:rFonts w:hint="eastAsia" w:ascii="宋体" w:hAnsi="宋体" w:eastAsia="黑体" w:cs="Arial"/>
          <w:b/>
          <w:bCs/>
          <w:color w:val="auto"/>
          <w:sz w:val="32"/>
          <w:highlight w:val="none"/>
        </w:rPr>
        <w:t xml:space="preserve">有依法缴纳税收和社会保障资金的良好记录</w:t>
      </w:r>
      <w:r/>
    </w:p>
    <w:p>
      <w:pPr>
        <w:pStyle w:val="693"/>
        <w:spacing w:line="360" w:lineRule="auto"/>
        <w:rPr>
          <w:color w:val="auto"/>
          <w:highlight w:val="none"/>
        </w:rPr>
      </w:pPr>
      <w:r>
        <w:rPr>
          <w:rFonts w:hint="eastAsia" w:ascii="宋体"/>
          <w:bCs/>
          <w:color w:val="auto"/>
          <w:szCs w:val="32"/>
          <w:highlight w:val="none"/>
        </w:rPr>
        <w:t xml:space="preserve">提供符合招标文件要求的资料</w:t>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8"/>
        <w:spacing w:line="360" w:lineRule="auto"/>
        <w:rPr>
          <w:color w:val="auto"/>
          <w:highlight w:val="none"/>
        </w:rPr>
        <w:outlineLvl w:val="1"/>
      </w:pPr>
      <w:r>
        <w:rPr>
          <w:color w:val="auto"/>
          <w:highlight w:val="none"/>
        </w:rPr>
      </w:r>
      <w:r/>
    </w:p>
    <w:p>
      <w:pPr>
        <w:pStyle w:val="699"/>
        <w:spacing w:line="360" w:lineRule="auto"/>
        <w:rPr>
          <w:color w:val="auto"/>
          <w:highlight w:val="none"/>
        </w:rPr>
        <w:outlineLvl w:val="1"/>
      </w:pPr>
      <w:r/>
      <w:bookmarkStart w:id="200" w:name="_Toc19673"/>
      <w:r/>
      <w:bookmarkStart w:id="201" w:name="_Toc5571_WPSOffice_Level2"/>
      <w:r/>
      <w:bookmarkStart w:id="202" w:name="_Toc514054491"/>
      <w:r>
        <w:rPr>
          <w:color w:val="auto"/>
          <w:highlight w:val="none"/>
        </w:rPr>
        <w:t xml:space="preserve">六、无重大违法行为声明</w:t>
      </w:r>
      <w:bookmarkEnd w:id="200"/>
      <w:r/>
      <w:bookmarkEnd w:id="201"/>
      <w:r/>
      <w:bookmarkEnd w:id="202"/>
      <w:r/>
      <w:r/>
    </w:p>
    <w:p>
      <w:pPr>
        <w:pStyle w:val="700"/>
        <w:jc w:val="center"/>
        <w:spacing w:line="360" w:lineRule="auto"/>
        <w:tabs>
          <w:tab w:val="left" w:pos="1498" w:leader="none"/>
        </w:tabs>
        <w:rPr>
          <w:rFonts w:hint="eastAsia"/>
          <w:b/>
          <w:color w:val="auto"/>
          <w:sz w:val="32"/>
          <w:szCs w:val="32"/>
          <w:highlight w:val="none"/>
        </w:rPr>
      </w:pPr>
      <w:r/>
      <w:bookmarkStart w:id="203" w:name="_Toc7575_WPSOffice_Level2"/>
      <w:r>
        <w:rPr>
          <w:rFonts w:hint="eastAsia"/>
          <w:b/>
          <w:color w:val="auto"/>
          <w:sz w:val="32"/>
          <w:szCs w:val="32"/>
          <w:highlight w:val="none"/>
        </w:rPr>
        <w:t xml:space="preserve">无重大违法行为声明</w:t>
      </w:r>
      <w:bookmarkEnd w:id="203"/>
      <w:r/>
      <w:r/>
    </w:p>
    <w:p>
      <w:pPr>
        <w:pStyle w:val="70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700"/>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700"/>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700"/>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700"/>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700"/>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700"/>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696"/>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701"/>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702"/>
        <w:spacing w:line="360" w:lineRule="auto"/>
        <w:rPr>
          <w:color w:val="auto"/>
          <w:highlight w:val="none"/>
        </w:rPr>
        <w:outlineLvl w:val="1"/>
      </w:pPr>
      <w:r>
        <w:rPr>
          <w:color w:val="auto"/>
          <w:highlight w:val="none"/>
        </w:rPr>
        <w:br w:type="page" w:clear="all"/>
      </w:r>
      <w:bookmarkStart w:id="204" w:name="_Toc514054492"/>
      <w:r/>
      <w:bookmarkStart w:id="205" w:name="_Toc30396"/>
      <w:r/>
      <w:bookmarkStart w:id="206" w:name="_Toc31956_WPSOffice_Level2"/>
      <w:r/>
      <w:r/>
    </w:p>
    <w:p>
      <w:pPr>
        <w:pStyle w:val="702"/>
        <w:spacing w:line="360" w:lineRule="auto"/>
        <w:rPr>
          <w:color w:val="auto"/>
          <w:highlight w:val="none"/>
        </w:rPr>
        <w:outlineLvl w:val="1"/>
      </w:pPr>
      <w:r>
        <w:rPr>
          <w:color w:val="auto"/>
          <w:highlight w:val="none"/>
        </w:rPr>
        <w:t xml:space="preserve">七、投标函</w:t>
      </w:r>
      <w:bookmarkEnd w:id="204"/>
      <w:r/>
      <w:bookmarkEnd w:id="205"/>
      <w:r/>
      <w:bookmarkEnd w:id="206"/>
      <w:r/>
      <w:r/>
    </w:p>
    <w:p>
      <w:pPr>
        <w:pStyle w:val="703"/>
        <w:spacing w:line="360" w:lineRule="auto"/>
        <w:tabs>
          <w:tab w:val="left" w:pos="1498" w:leader="none"/>
        </w:tabs>
        <w:rPr>
          <w:rFonts w:hint="eastAsia" w:ascii="仿宋_GB2312" w:eastAsia="仿宋_GB2312"/>
          <w:color w:val="auto"/>
          <w:sz w:val="24"/>
          <w:szCs w:val="22"/>
          <w:highlight w:val="none"/>
        </w:rPr>
      </w:pPr>
      <w:r/>
      <w:bookmarkStart w:id="207" w:name="_Toc22395"/>
      <w:r/>
      <w:bookmarkStart w:id="208" w:name="_Toc514054493"/>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703"/>
        <w:numPr>
          <w:ilvl w:val="0"/>
          <w:numId w:val="5"/>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703"/>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704"/>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704"/>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704"/>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705"/>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207"/>
      <w:r/>
      <w:bookmarkEnd w:id="208"/>
      <w:r/>
      <w:r/>
    </w:p>
    <w:p>
      <w:pPr>
        <w:pStyle w:val="706"/>
        <w:jc w:val="center"/>
        <w:spacing w:line="360" w:lineRule="auto"/>
        <w:rPr>
          <w:rFonts w:ascii="宋体"/>
          <w:b/>
          <w:bCs/>
          <w:color w:val="auto"/>
          <w:sz w:val="32"/>
          <w:szCs w:val="32"/>
          <w:highlight w:val="none"/>
        </w:rPr>
      </w:pPr>
      <w:r/>
      <w:bookmarkStart w:id="209" w:name="_Toc22626_WPSOffice_Level2"/>
      <w:r/>
      <w:r/>
    </w:p>
    <w:p>
      <w:pPr>
        <w:pStyle w:val="706"/>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209"/>
      <w:r/>
      <w:r/>
    </w:p>
    <w:p>
      <w:pPr>
        <w:pStyle w:val="707"/>
        <w:spacing w:line="360" w:lineRule="auto"/>
        <w:rPr>
          <w:rFonts w:eastAsia="仿宋_GB2312"/>
          <w:color w:val="auto"/>
          <w:sz w:val="24"/>
          <w:highlight w:val="none"/>
        </w:rPr>
      </w:pPr>
      <w:r>
        <w:rPr>
          <w:rFonts w:eastAsia="仿宋_GB2312"/>
          <w:color w:val="auto"/>
          <w:sz w:val="24"/>
          <w:highlight w:val="none"/>
        </w:rPr>
      </w:r>
      <w:r/>
    </w:p>
    <w:p>
      <w:pPr>
        <w:pStyle w:val="707"/>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707"/>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707"/>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707"/>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707"/>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707"/>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707"/>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707"/>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708"/>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707"/>
        <w:ind w:firstLine="480"/>
        <w:spacing w:line="360" w:lineRule="auto"/>
        <w:rPr>
          <w:rFonts w:eastAsia="仿宋_GB2312"/>
          <w:color w:val="auto"/>
          <w:sz w:val="24"/>
          <w:highlight w:val="none"/>
        </w:rPr>
      </w:pPr>
      <w:r>
        <w:rPr>
          <w:rFonts w:eastAsia="仿宋_GB2312"/>
          <w:color w:val="auto"/>
          <w:sz w:val="24"/>
          <w:highlight w:val="none"/>
        </w:rPr>
      </w:r>
      <w:r/>
    </w:p>
    <w:p>
      <w:pPr>
        <w:pStyle w:val="707"/>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707"/>
        <w:jc w:val="right"/>
        <w:spacing w:line="360" w:lineRule="auto"/>
        <w:rPr>
          <w:rFonts w:eastAsia="仿宋_GB2312"/>
          <w:color w:val="auto"/>
          <w:sz w:val="24"/>
          <w:highlight w:val="none"/>
        </w:rPr>
      </w:pPr>
      <w:r>
        <w:rPr>
          <w:rFonts w:eastAsia="仿宋_GB2312"/>
          <w:color w:val="auto"/>
          <w:sz w:val="24"/>
          <w:highlight w:val="none"/>
        </w:rPr>
      </w:r>
      <w:r/>
    </w:p>
    <w:p>
      <w:pPr>
        <w:pStyle w:val="707"/>
        <w:jc w:val="right"/>
        <w:spacing w:line="360" w:lineRule="auto"/>
        <w:rPr>
          <w:rFonts w:eastAsia="仿宋_GB2312"/>
          <w:color w:val="auto"/>
          <w:sz w:val="24"/>
          <w:highlight w:val="none"/>
        </w:rPr>
      </w:pPr>
      <w:r>
        <w:rPr>
          <w:rFonts w:eastAsia="仿宋_GB2312"/>
          <w:color w:val="auto"/>
          <w:sz w:val="24"/>
          <w:highlight w:val="none"/>
        </w:rPr>
      </w:r>
      <w:r/>
    </w:p>
    <w:p>
      <w:pPr>
        <w:pStyle w:val="708"/>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706"/>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709"/>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706"/>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210" w:name="_Toc406_WPSOffice_Level2"/>
      <w:r/>
      <w:r/>
    </w:p>
    <w:p>
      <w:pPr>
        <w:pStyle w:val="706"/>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706"/>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210"/>
      <w:r/>
      <w:r/>
    </w:p>
    <w:p>
      <w:pPr>
        <w:pStyle w:val="706"/>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707"/>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706"/>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706"/>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706"/>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710"/>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710"/>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706"/>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706"/>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706"/>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711"/>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712"/>
        <w:spacing w:line="360" w:lineRule="auto"/>
        <w:rPr>
          <w:rFonts w:hint="eastAsia" w:eastAsia="黑体"/>
          <w:color w:val="auto"/>
          <w:highlight w:val="none"/>
          <w:lang w:eastAsia="zh-CN"/>
        </w:rPr>
        <w:outlineLvl w:val="1"/>
      </w:pPr>
      <w:r>
        <w:rPr>
          <w:color w:val="auto"/>
          <w:highlight w:val="none"/>
        </w:rPr>
        <w:br w:type="page" w:clear="all"/>
      </w:r>
      <w:bookmarkStart w:id="211" w:name="_Toc12853"/>
      <w:r/>
      <w:bookmarkStart w:id="212" w:name="_Toc514054494"/>
      <w:r>
        <w:rPr>
          <w:color w:val="auto"/>
          <w:highlight w:val="none"/>
        </w:rPr>
        <w:t xml:space="preserve">九、开标一览表</w:t>
      </w:r>
      <w:bookmarkEnd w:id="211"/>
      <w:r/>
      <w:bookmarkEnd w:id="212"/>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712"/>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r>
      <w:r/>
    </w:p>
    <w:p>
      <w:pPr>
        <w:ind w:left="0" w:right="0" w:firstLine="0"/>
        <w:spacing w:before="100" w:after="10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spacing w:before="100" w:after="1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名称</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盐城市中医院远程动态心电监测分析服务采购项目</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项目编号</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JSZC-320900-JSHY-G2025-0471</w:t>
      </w:r>
      <w:r/>
    </w:p>
    <w:p>
      <w:pPr>
        <w:ind w:left="0" w:right="0" w:firstLine="0"/>
        <w:spacing w:before="100" w:after="100"/>
        <w:rPr>
          <w:color w:val="auto"/>
          <w:highlight w:val="yellow"/>
        </w:rPr>
        <w:pBdr>
          <w:top w:val="none" w:color="000000" w:sz="0" w:space="0"/>
          <w:left w:val="none" w:color="000000" w:sz="0" w:space="0"/>
          <w:bottom w:val="none" w:color="000000" w:sz="0" w:space="0"/>
          <w:right w:val="none" w:color="000000" w:sz="0" w:space="0"/>
        </w:pBdr>
      </w:pPr>
      <w:r>
        <w:rPr>
          <w:color w:val="auto"/>
          <w:highlight w:val="yellow"/>
        </w:rPr>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7"/>
        <w:gridCol w:w="2040"/>
        <w:gridCol w:w="329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47" w:type="dxa"/>
            <w:vAlign w:val="center"/>
            <w:textDirection w:val="lrTb"/>
            <w:noWrap w:val="false"/>
          </w:tcPr>
          <w:p>
            <w:pPr>
              <w:ind w:left="0" w:right="0" w:firstLine="0"/>
              <w:spacing w:before="100" w:after="10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投标人名称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40" w:type="dxa"/>
            <w:vAlign w:val="center"/>
            <w:textDirection w:val="lrTb"/>
            <w:noWrap w:val="false"/>
          </w:tcPr>
          <w:p>
            <w:pPr>
              <w:ind w:left="0" w:right="0" w:firstLine="0"/>
              <w:spacing w:before="100" w:after="10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auto"/>
                <w:sz w:val="24"/>
                <w:highlight w:val="none"/>
                <w:lang w:val="en-US" w:eastAsia="zh-CN"/>
              </w:rPr>
              <w:t xml:space="preserve">优惠率（小写）</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94" w:type="dxa"/>
            <w:vAlign w:val="center"/>
            <w:textDirection w:val="lrTb"/>
            <w:noWrap w:val="false"/>
          </w:tcPr>
          <w:p>
            <w:pPr>
              <w:ind w:left="0" w:right="0" w:firstLine="0"/>
              <w:spacing w:before="100" w:after="100" w:line="24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47" w:type="dxa"/>
            <w:vAlign w:val="center"/>
            <w:textDirection w:val="lrTb"/>
            <w:noWrap w:val="false"/>
          </w:tcPr>
          <w:p>
            <w:pPr>
              <w:ind w:left="0" w:right="0" w:firstLine="0"/>
              <w:spacing w:before="100" w:after="10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40" w:type="dxa"/>
            <w:vAlign w:val="center"/>
            <w:textDirection w:val="lrTb"/>
            <w:noWrap w:val="false"/>
          </w:tcPr>
          <w:p>
            <w:pPr>
              <w:ind w:left="0" w:right="0" w:firstLine="0"/>
              <w:spacing w:before="100" w:after="10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94" w:type="dxa"/>
            <w:vAlign w:val="center"/>
            <w:textDirection w:val="lrTb"/>
            <w:noWrap w:val="false"/>
          </w:tcPr>
          <w:p>
            <w:pPr>
              <w:ind w:left="0" w:right="0" w:firstLine="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投标人公章：（电子签章）</w:t>
      </w:r>
      <w:r>
        <w:rPr>
          <w:rFonts w:hint="default" w:ascii="宋体" w:hAnsi="宋体" w:eastAsia="宋体" w:cs="宋体"/>
          <w:color w:val="auto"/>
          <w:sz w:val="24"/>
          <w:highlight w:val="none"/>
        </w:rPr>
        <w:t xml:space="preserve">   </w:t>
      </w:r>
      <w:r/>
    </w:p>
    <w:p>
      <w:pPr>
        <w:ind w:left="0" w:right="0" w:firstLine="0"/>
        <w:jc w:val="right"/>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jc w:val="right"/>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jc w:val="right"/>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rPr>
          <w:rFonts w:ascii="Calibri" w:hAnsi="Calibri" w:eastAsia="Calibri" w:cs="Calibri"/>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Calibri" w:hAnsi="Calibri" w:eastAsia="Calibri" w:cs="Calibri"/>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日</w:t>
      </w:r>
      <w:r/>
    </w:p>
    <w:p>
      <w:pPr>
        <w:pStyle w:val="713"/>
        <w:rPr>
          <w:color w:val="auto"/>
          <w:highlight w:val="none"/>
        </w:rPr>
        <w:outlineLvl w:val="1"/>
      </w:pPr>
      <w:r>
        <w:rPr>
          <w:color w:val="auto"/>
          <w:highlight w:val="none"/>
        </w:rPr>
      </w:r>
      <w:r/>
    </w:p>
    <w:p>
      <w:pPr>
        <w:pStyle w:val="713"/>
        <w:spacing w:line="360" w:lineRule="auto"/>
        <w:rPr>
          <w:color w:val="auto"/>
          <w:highlight w:val="none"/>
        </w:rPr>
        <w:outlineLvl w:val="1"/>
      </w:pPr>
      <w:r>
        <w:rPr>
          <w:color w:val="auto"/>
          <w:highlight w:val="none"/>
        </w:rPr>
      </w:r>
      <w:r/>
    </w:p>
    <w:p>
      <w:pPr>
        <w:pStyle w:val="713"/>
        <w:spacing w:line="360" w:lineRule="auto"/>
        <w:rPr>
          <w:color w:val="auto"/>
          <w:highlight w:val="none"/>
        </w:rPr>
        <w:outlineLvl w:val="1"/>
      </w:pPr>
      <w:r>
        <w:rPr>
          <w:color w:val="auto"/>
          <w:highlight w:val="none"/>
        </w:rPr>
      </w:r>
      <w:r/>
    </w:p>
    <w:p>
      <w:pPr>
        <w:pStyle w:val="713"/>
        <w:ind w:firstLine="0"/>
        <w:spacing w:line="360" w:lineRule="auto"/>
        <w:rPr>
          <w:rFonts w:hint="eastAsia" w:ascii="宋体" w:hAnsi="宋体" w:eastAsia="宋体" w:cs="宋体"/>
          <w:color w:val="auto"/>
          <w:sz w:val="28"/>
          <w:szCs w:val="28"/>
          <w:highlight w:val="none"/>
          <w:lang w:val="en-US" w:eastAsia="zh-CN"/>
        </w:rPr>
        <w:outlineLvl w:val="1"/>
      </w:pPr>
      <w:r/>
      <w:bookmarkStart w:id="213" w:name="_Toc514054496"/>
      <w:r>
        <w:rPr>
          <w:rFonts w:hint="eastAsia" w:ascii="宋体" w:hAnsi="宋体" w:eastAsia="宋体" w:cs="宋体"/>
          <w:color w:val="auto"/>
          <w:sz w:val="28"/>
          <w:szCs w:val="28"/>
          <w:highlight w:val="none"/>
        </w:rPr>
        <w:t xml:space="preserve">注：</w:t>
      </w:r>
      <w:r>
        <w:rPr>
          <w:rFonts w:hint="eastAsia" w:ascii="宋体" w:hAnsi="宋体" w:eastAsia="宋体" w:cs="宋体"/>
          <w:color w:val="auto"/>
          <w:sz w:val="28"/>
          <w:szCs w:val="21"/>
          <w:highlight w:val="none"/>
        </w:rPr>
        <w:t xml:space="preserve">优惠率报价区间为55（含）</w:t>
      </w:r>
      <w:r>
        <w:rPr>
          <w:rFonts w:hint="eastAsia" w:ascii="宋体" w:hAnsi="宋体" w:eastAsia="宋体" w:cs="宋体"/>
          <w:color w:val="auto"/>
          <w:sz w:val="28"/>
          <w:szCs w:val="21"/>
          <w:highlight w:val="none"/>
          <w:lang w:val="en-US" w:eastAsia="zh-CN"/>
        </w:rPr>
        <w:t xml:space="preserve">%</w:t>
      </w:r>
      <w:r>
        <w:rPr>
          <w:rFonts w:hint="eastAsia" w:ascii="宋体" w:hAnsi="宋体" w:eastAsia="宋体" w:cs="宋体"/>
          <w:color w:val="auto"/>
          <w:sz w:val="28"/>
          <w:szCs w:val="21"/>
          <w:highlight w:val="none"/>
        </w:rPr>
        <w:t xml:space="preserve">—100（不含）%，超出此范围视为无效响应。</w:t>
      </w:r>
      <w:r/>
    </w:p>
    <w:p>
      <w:pPr>
        <w:pStyle w:val="713"/>
        <w:ind w:firstLine="281"/>
        <w:spacing w:line="360" w:lineRule="auto"/>
        <w:rPr>
          <w:color w:val="auto"/>
          <w:highlight w:val="none"/>
        </w:rPr>
        <w:outlineLvl w:val="1"/>
      </w:pP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折扣率=100%-优惠率。</w:t>
      </w:r>
      <w:r>
        <w:rPr>
          <w:rFonts w:hint="eastAsia" w:ascii="宋体" w:hAnsi="宋体" w:eastAsia="宋体" w:cs="宋体"/>
          <w:color w:val="auto"/>
          <w:sz w:val="28"/>
          <w:szCs w:val="28"/>
          <w:highlight w:val="none"/>
          <w:lang w:val="en-US" w:eastAsia="zh-CN"/>
        </w:rPr>
        <w:t xml:space="preserve">举例：如优惠率报价为65%，则折扣率为35%）</w:t>
      </w:r>
      <w:r>
        <w:rPr>
          <w:color w:val="auto"/>
          <w:highlight w:val="none"/>
        </w:rPr>
        <w:br w:type="page" w:clear="all"/>
      </w:r>
      <w:bookmarkStart w:id="214" w:name="_Toc10632"/>
      <w:r>
        <w:rPr>
          <w:color w:val="auto"/>
          <w:highlight w:val="none"/>
        </w:rPr>
        <w:t xml:space="preserve">十、中小企业声明函</w:t>
      </w:r>
      <w:bookmarkEnd w:id="213"/>
      <w:r/>
      <w:bookmarkEnd w:id="214"/>
      <w:r/>
      <w:r/>
    </w:p>
    <w:p>
      <w:pPr>
        <w:jc w:val="center"/>
        <w:rPr>
          <w:rStyle w:val="716"/>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jc w:val="center"/>
        <w:rPr>
          <w:rStyle w:val="716"/>
          <w:rFonts w:hint="eastAsia" w:ascii="楷体" w:hAnsi="楷体" w:eastAsia="楷体" w:cs="楷体"/>
          <w:color w:val="auto"/>
          <w:sz w:val="32"/>
          <w:szCs w:val="32"/>
          <w:highlight w:val="none"/>
          <w:lang w:bidi="ar"/>
        </w:rPr>
      </w:pPr>
      <w:r>
        <w:rPr>
          <w:rStyle w:val="716"/>
          <w:rFonts w:hint="eastAsia" w:ascii="楷体" w:hAnsi="楷体" w:eastAsia="楷体" w:cs="楷体"/>
          <w:color w:val="auto"/>
          <w:sz w:val="32"/>
          <w:szCs w:val="32"/>
          <w:highlight w:val="none"/>
          <w:lang w:bidi="ar"/>
        </w:rPr>
        <w:t xml:space="preserve">中小企业声明函（服务类项目）</w:t>
      </w:r>
      <w:r/>
    </w:p>
    <w:p>
      <w:pPr>
        <w:jc w:val="center"/>
        <w:rPr>
          <w:rStyle w:val="716"/>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pStyle w:val="666"/>
        <w:ind w:left="0" w:right="0" w:firstLine="640"/>
        <w:jc w:val="left"/>
        <w:keepLines w:val="0"/>
        <w:keepNext w:val="0"/>
        <w:pageBreakBefore w:val="0"/>
        <w:spacing w:before="60" w:beforeAutospacing="0" w:after="60" w:afterAutospacing="0" w:line="360" w:lineRule="auto"/>
        <w:widowControl/>
        <w:rPr>
          <w:rFonts w:ascii="等线" w:hAnsi="等线" w:eastAsia="等线" w:cs="等线"/>
          <w:sz w:val="24"/>
          <w:szCs w:val="24"/>
        </w:rPr>
        <w:suppressLineNumbers w:val="0"/>
      </w:pPr>
      <w:r>
        <w:rPr>
          <w:rFonts w:hint="eastAsia" w:ascii="宋体" w:hAnsi="宋体" w:eastAsia="宋体" w:cs="宋体"/>
          <w:b w:val="0"/>
          <w:bCs w:val="0"/>
          <w:i w:val="0"/>
          <w:iCs w:val="0"/>
          <w:caps w:val="0"/>
          <w:color w:val="000000"/>
          <w:spacing w:val="0"/>
          <w:sz w:val="24"/>
          <w:szCs w:val="24"/>
          <w:vertAlign w:val="baseline"/>
        </w:rPr>
        <w:t xml:space="preserve">本公司（联合体）郑重声明，根据《政府采购促进中小企业发展管理办法》（财库﹝2020﹞46 号）的规定，本公司（联合体）参加</w:t>
      </w:r>
      <w:r>
        <w:rPr>
          <w:rFonts w:hint="eastAsia" w:ascii="宋体" w:hAnsi="宋体" w:eastAsia="宋体" w:cs="宋体"/>
          <w:b w:val="0"/>
          <w:bCs w:val="0"/>
          <w:i w:val="0"/>
          <w:iCs w:val="0"/>
          <w:caps w:val="0"/>
          <w:color w:val="000000"/>
          <w:spacing w:val="0"/>
          <w:sz w:val="24"/>
          <w:szCs w:val="24"/>
          <w:u w:val="single"/>
          <w:vertAlign w:val="baseline"/>
        </w:rPr>
        <w:t xml:space="preserve">（单位名称）</w:t>
      </w:r>
      <w:r>
        <w:rPr>
          <w:rFonts w:hint="eastAsia" w:ascii="宋体" w:hAnsi="宋体" w:eastAsia="宋体" w:cs="宋体"/>
          <w:b w:val="0"/>
          <w:bCs w:val="0"/>
          <w:i w:val="0"/>
          <w:iCs w:val="0"/>
          <w:caps w:val="0"/>
          <w:color w:val="000000"/>
          <w:spacing w:val="0"/>
          <w:sz w:val="24"/>
          <w:szCs w:val="24"/>
          <w:vertAlign w:val="baseline"/>
        </w:rPr>
        <w:t xml:space="preserve">的</w:t>
      </w:r>
      <w:r>
        <w:rPr>
          <w:rFonts w:hint="eastAsia" w:ascii="宋体" w:hAnsi="宋体" w:eastAsia="宋体" w:cs="宋体"/>
          <w:b w:val="0"/>
          <w:bCs w:val="0"/>
          <w:i w:val="0"/>
          <w:iCs w:val="0"/>
          <w:caps w:val="0"/>
          <w:color w:val="000000"/>
          <w:spacing w:val="0"/>
          <w:sz w:val="24"/>
          <w:szCs w:val="24"/>
          <w:u w:val="single"/>
          <w:vertAlign w:val="baseline"/>
        </w:rPr>
        <w:t xml:space="preserve">（项目名称）</w:t>
      </w:r>
      <w:r>
        <w:rPr>
          <w:rFonts w:hint="eastAsia" w:ascii="宋体" w:hAnsi="宋体" w:eastAsia="宋体" w:cs="宋体"/>
          <w:b w:val="0"/>
          <w:bCs w:val="0"/>
          <w:i w:val="0"/>
          <w:iCs w:val="0"/>
          <w:caps w:val="0"/>
          <w:color w:val="000000"/>
          <w:spacing w:val="0"/>
          <w:sz w:val="24"/>
          <w:szCs w:val="24"/>
          <w:vertAlign w:val="baseli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666"/>
        <w:ind w:left="0" w:right="0" w:firstLine="640"/>
        <w:jc w:val="left"/>
        <w:keepLines w:val="0"/>
        <w:keepNext w:val="0"/>
        <w:pageBreakBefore w:val="0"/>
        <w:spacing w:before="60" w:beforeAutospacing="0" w:after="60" w:afterAutospacing="0" w:line="360" w:lineRule="auto"/>
        <w:widowControl/>
        <w:rPr>
          <w:rFonts w:hint="eastAsia" w:ascii="等线" w:hAnsi="等线" w:eastAsia="等线" w:cs="等线"/>
          <w:sz w:val="24"/>
          <w:szCs w:val="24"/>
        </w:rPr>
        <w:suppressLineNumbers w:val="0"/>
      </w:pPr>
      <w:r>
        <w:rPr>
          <w:rFonts w:hint="eastAsia" w:ascii="宋体" w:hAnsi="宋体" w:eastAsia="宋体" w:cs="宋体"/>
          <w:b w:val="0"/>
          <w:bCs w:val="0"/>
          <w:i w:val="0"/>
          <w:iCs w:val="0"/>
          <w:caps w:val="0"/>
          <w:color w:val="000000"/>
          <w:spacing w:val="0"/>
          <w:sz w:val="24"/>
          <w:szCs w:val="24"/>
          <w:vertAlign w:val="baseline"/>
        </w:rPr>
        <w:t xml:space="preserve">1.</w:t>
      </w:r>
      <w:r>
        <w:rPr>
          <w:rFonts w:hint="eastAsia" w:ascii="宋体" w:hAnsi="宋体" w:eastAsia="宋体" w:cs="宋体"/>
          <w:b w:val="0"/>
          <w:bCs w:val="0"/>
          <w:i w:val="0"/>
          <w:iCs w:val="0"/>
          <w:caps w:val="0"/>
          <w:color w:val="000000"/>
          <w:spacing w:val="0"/>
          <w:sz w:val="24"/>
          <w:szCs w:val="24"/>
          <w:u w:val="single"/>
          <w:vertAlign w:val="baseline"/>
        </w:rPr>
        <w:t xml:space="preserve">（标的名称）</w:t>
      </w:r>
      <w:r>
        <w:rPr>
          <w:rFonts w:hint="eastAsia" w:ascii="宋体" w:hAnsi="宋体" w:eastAsia="宋体" w:cs="宋体"/>
          <w:b w:val="0"/>
          <w:bCs w:val="0"/>
          <w:i w:val="0"/>
          <w:iCs w:val="0"/>
          <w:caps w:val="0"/>
          <w:color w:val="000000"/>
          <w:spacing w:val="0"/>
          <w:sz w:val="24"/>
          <w:szCs w:val="24"/>
          <w:vertAlign w:val="baseline"/>
        </w:rPr>
        <w:t xml:space="preserve">，属于</w:t>
      </w:r>
      <w:r>
        <w:rPr>
          <w:rFonts w:hint="eastAsia" w:ascii="宋体" w:hAnsi="宋体" w:eastAsia="宋体" w:cs="宋体"/>
          <w:b w:val="0"/>
          <w:bCs w:val="0"/>
          <w:i w:val="0"/>
          <w:iCs w:val="0"/>
          <w:caps w:val="0"/>
          <w:color w:val="000000"/>
          <w:spacing w:val="0"/>
          <w:sz w:val="24"/>
          <w:szCs w:val="24"/>
          <w:u w:val="single"/>
          <w:vertAlign w:val="baseline"/>
        </w:rPr>
        <w:t xml:space="preserve">（采购文件中明确的所属行业）</w:t>
      </w:r>
      <w:r>
        <w:rPr>
          <w:rFonts w:hint="eastAsia" w:ascii="宋体" w:hAnsi="宋体" w:eastAsia="宋体" w:cs="宋体"/>
          <w:b w:val="0"/>
          <w:bCs w:val="0"/>
          <w:i w:val="0"/>
          <w:iCs w:val="0"/>
          <w:caps w:val="0"/>
          <w:color w:val="000000"/>
          <w:spacing w:val="0"/>
          <w:sz w:val="24"/>
          <w:szCs w:val="24"/>
          <w:vertAlign w:val="baseline"/>
        </w:rPr>
        <w:t xml:space="preserve">；承建（承接）企业为</w:t>
      </w:r>
      <w:r>
        <w:rPr>
          <w:rFonts w:hint="eastAsia" w:ascii="宋体" w:hAnsi="宋体" w:eastAsia="宋体" w:cs="宋体"/>
          <w:b w:val="0"/>
          <w:bCs w:val="0"/>
          <w:i w:val="0"/>
          <w:iCs w:val="0"/>
          <w:caps w:val="0"/>
          <w:color w:val="000000"/>
          <w:spacing w:val="0"/>
          <w:sz w:val="24"/>
          <w:szCs w:val="24"/>
          <w:u w:val="single"/>
          <w:vertAlign w:val="baseline"/>
        </w:rPr>
        <w:t xml:space="preserve">（企业名称）</w:t>
      </w:r>
      <w:r>
        <w:rPr>
          <w:rFonts w:hint="eastAsia" w:ascii="宋体" w:hAnsi="宋体" w:eastAsia="宋体" w:cs="宋体"/>
          <w:b w:val="0"/>
          <w:bCs w:val="0"/>
          <w:i w:val="0"/>
          <w:iCs w:val="0"/>
          <w:caps w:val="0"/>
          <w:color w:val="000000"/>
          <w:spacing w:val="0"/>
          <w:sz w:val="24"/>
          <w:szCs w:val="24"/>
          <w:vertAlign w:val="baseline"/>
        </w:rPr>
        <w:t xml:space="preserve">，从业人员</w:t>
      </w:r>
      <w:r>
        <w:rPr>
          <w:rFonts w:hint="eastAsia" w:ascii="宋体" w:hAnsi="宋体" w:eastAsia="宋体" w:cs="宋体"/>
          <w:b w:val="0"/>
          <w:bCs w:val="0"/>
          <w:i w:val="0"/>
          <w:iCs w:val="0"/>
          <w:caps w:val="0"/>
          <w:color w:val="000000"/>
          <w:spacing w:val="0"/>
          <w:sz w:val="24"/>
          <w:szCs w:val="24"/>
          <w:u w:val="single"/>
          <w:vertAlign w:val="baseline"/>
        </w:rPr>
        <w:t xml:space="preserve"> </w:t>
      </w:r>
      <w:r>
        <w:rPr>
          <w:rFonts w:hint="eastAsia" w:ascii="宋体" w:hAnsi="宋体" w:eastAsia="宋体" w:cs="宋体"/>
          <w:b w:val="0"/>
          <w:bCs w:val="0"/>
          <w:i w:val="0"/>
          <w:iCs w:val="0"/>
          <w:caps w:val="0"/>
          <w:color w:val="000000"/>
          <w:spacing w:val="0"/>
          <w:sz w:val="24"/>
          <w:szCs w:val="24"/>
          <w:vertAlign w:val="baseline"/>
        </w:rPr>
        <w:t xml:space="preserve">人，营业收入为</w:t>
      </w:r>
      <w:r>
        <w:rPr>
          <w:rFonts w:hint="eastAsia" w:ascii="宋体" w:hAnsi="宋体" w:eastAsia="宋体" w:cs="宋体"/>
          <w:b w:val="0"/>
          <w:bCs w:val="0"/>
          <w:i w:val="0"/>
          <w:iCs w:val="0"/>
          <w:caps w:val="0"/>
          <w:color w:val="000000"/>
          <w:spacing w:val="0"/>
          <w:sz w:val="24"/>
          <w:szCs w:val="24"/>
          <w:u w:val="single"/>
          <w:vertAlign w:val="baseline"/>
        </w:rPr>
        <w:t xml:space="preserve"> </w:t>
      </w:r>
      <w:r>
        <w:rPr>
          <w:rFonts w:hint="eastAsia" w:ascii="宋体" w:hAnsi="宋体" w:eastAsia="宋体" w:cs="宋体"/>
          <w:b w:val="0"/>
          <w:bCs w:val="0"/>
          <w:i w:val="0"/>
          <w:iCs w:val="0"/>
          <w:caps w:val="0"/>
          <w:color w:val="000000"/>
          <w:spacing w:val="0"/>
          <w:sz w:val="24"/>
          <w:szCs w:val="24"/>
          <w:vertAlign w:val="baseline"/>
        </w:rPr>
        <w:t xml:space="preserve">万元，资产总额为</w:t>
      </w:r>
      <w:r>
        <w:rPr>
          <w:rFonts w:hint="eastAsia" w:ascii="宋体" w:hAnsi="宋体" w:eastAsia="宋体" w:cs="宋体"/>
          <w:b w:val="0"/>
          <w:bCs w:val="0"/>
          <w:i w:val="0"/>
          <w:iCs w:val="0"/>
          <w:caps w:val="0"/>
          <w:color w:val="000000"/>
          <w:spacing w:val="0"/>
          <w:sz w:val="24"/>
          <w:szCs w:val="24"/>
          <w:u w:val="single"/>
          <w:vertAlign w:val="baseline"/>
        </w:rPr>
        <w:t xml:space="preserve"> </w:t>
      </w:r>
      <w:r>
        <w:rPr>
          <w:rFonts w:hint="eastAsia" w:ascii="宋体" w:hAnsi="宋体" w:eastAsia="宋体" w:cs="宋体"/>
          <w:b w:val="0"/>
          <w:bCs w:val="0"/>
          <w:i w:val="0"/>
          <w:iCs w:val="0"/>
          <w:caps w:val="0"/>
          <w:color w:val="000000"/>
          <w:spacing w:val="0"/>
          <w:sz w:val="24"/>
          <w:szCs w:val="24"/>
          <w:vertAlign w:val="baseline"/>
        </w:rPr>
        <w:t xml:space="preserve">万元</w:t>
      </w:r>
      <w:r>
        <w:rPr>
          <w:rFonts w:ascii="宋体" w:hAnsi="宋体" w:eastAsia="宋体" w:cs="宋体"/>
          <w:b w:val="0"/>
          <w:bCs w:val="0"/>
          <w:i w:val="0"/>
          <w:iCs w:val="0"/>
          <w:caps w:val="0"/>
          <w:color w:val="000000"/>
          <w:spacing w:val="0"/>
          <w:sz w:val="21"/>
          <w:szCs w:val="21"/>
          <w:vertAlign w:val="superscript"/>
        </w:rPr>
        <w:t xml:space="preserve">1</w:t>
      </w:r>
      <w:r>
        <w:rPr>
          <w:rFonts w:hint="eastAsia" w:ascii="宋体" w:hAnsi="宋体" w:eastAsia="宋体" w:cs="宋体"/>
          <w:b w:val="0"/>
          <w:bCs w:val="0"/>
          <w:i w:val="0"/>
          <w:iCs w:val="0"/>
          <w:caps w:val="0"/>
          <w:color w:val="000000"/>
          <w:spacing w:val="0"/>
          <w:sz w:val="24"/>
          <w:szCs w:val="24"/>
          <w:vertAlign w:val="baseline"/>
        </w:rPr>
        <w:t xml:space="preserve">，属于</w:t>
      </w:r>
      <w:r>
        <w:rPr>
          <w:rFonts w:hint="eastAsia" w:ascii="宋体" w:hAnsi="宋体" w:eastAsia="宋体" w:cs="宋体"/>
          <w:b w:val="0"/>
          <w:bCs w:val="0"/>
          <w:i w:val="0"/>
          <w:iCs w:val="0"/>
          <w:caps w:val="0"/>
          <w:color w:val="000000"/>
          <w:spacing w:val="0"/>
          <w:sz w:val="24"/>
          <w:szCs w:val="24"/>
          <w:u w:val="single"/>
          <w:vertAlign w:val="baseline"/>
        </w:rPr>
        <w:t xml:space="preserve">（中型企业、小型企业、微型企业）</w:t>
      </w:r>
      <w:r>
        <w:rPr>
          <w:rFonts w:hint="eastAsia" w:ascii="宋体" w:hAnsi="宋体" w:eastAsia="宋体" w:cs="宋体"/>
          <w:b w:val="0"/>
          <w:bCs w:val="0"/>
          <w:i w:val="0"/>
          <w:iCs w:val="0"/>
          <w:caps w:val="0"/>
          <w:color w:val="000000"/>
          <w:spacing w:val="0"/>
          <w:sz w:val="24"/>
          <w:szCs w:val="24"/>
          <w:vertAlign w:val="baseline"/>
        </w:rPr>
        <w:t xml:space="preserve">；</w:t>
      </w:r>
      <w:r/>
    </w:p>
    <w:p>
      <w:pPr>
        <w:pStyle w:val="666"/>
        <w:ind w:left="0" w:right="0" w:firstLine="640"/>
        <w:jc w:val="left"/>
        <w:keepLines w:val="0"/>
        <w:keepNext w:val="0"/>
        <w:pageBreakBefore w:val="0"/>
        <w:spacing w:before="60" w:beforeAutospacing="0" w:after="60" w:afterAutospacing="0" w:line="360" w:lineRule="auto"/>
        <w:widowControl/>
        <w:rPr>
          <w:rFonts w:hint="eastAsia" w:ascii="等线" w:hAnsi="等线" w:eastAsia="等线" w:cs="等线"/>
          <w:sz w:val="24"/>
          <w:szCs w:val="24"/>
        </w:rPr>
        <w:suppressLineNumbers w:val="0"/>
      </w:pPr>
      <w:r>
        <w:rPr>
          <w:rFonts w:hint="eastAsia" w:ascii="宋体" w:hAnsi="宋体" w:eastAsia="宋体" w:cs="宋体"/>
          <w:b w:val="0"/>
          <w:bCs w:val="0"/>
          <w:i w:val="0"/>
          <w:iCs w:val="0"/>
          <w:caps w:val="0"/>
          <w:color w:val="000000"/>
          <w:spacing w:val="0"/>
          <w:sz w:val="24"/>
          <w:szCs w:val="24"/>
          <w:vertAlign w:val="baseline"/>
        </w:rPr>
        <w:t xml:space="preserve">2.</w:t>
      </w:r>
      <w:r>
        <w:rPr>
          <w:rFonts w:hint="eastAsia" w:ascii="宋体" w:hAnsi="宋体" w:eastAsia="宋体" w:cs="宋体"/>
          <w:b w:val="0"/>
          <w:bCs w:val="0"/>
          <w:i w:val="0"/>
          <w:iCs w:val="0"/>
          <w:caps w:val="0"/>
          <w:color w:val="000000"/>
          <w:spacing w:val="0"/>
          <w:sz w:val="24"/>
          <w:szCs w:val="24"/>
          <w:u w:val="single"/>
          <w:vertAlign w:val="baseline"/>
        </w:rPr>
        <w:t xml:space="preserve">（标的名称）</w:t>
      </w:r>
      <w:r>
        <w:rPr>
          <w:rFonts w:hint="eastAsia" w:ascii="宋体" w:hAnsi="宋体" w:eastAsia="宋体" w:cs="宋体"/>
          <w:b w:val="0"/>
          <w:bCs w:val="0"/>
          <w:i w:val="0"/>
          <w:iCs w:val="0"/>
          <w:caps w:val="0"/>
          <w:color w:val="000000"/>
          <w:spacing w:val="0"/>
          <w:sz w:val="24"/>
          <w:szCs w:val="24"/>
          <w:vertAlign w:val="baseline"/>
        </w:rPr>
        <w:t xml:space="preserve">，属于</w:t>
      </w:r>
      <w:r>
        <w:rPr>
          <w:rFonts w:hint="eastAsia" w:ascii="宋体" w:hAnsi="宋体" w:eastAsia="宋体" w:cs="宋体"/>
          <w:b w:val="0"/>
          <w:bCs w:val="0"/>
          <w:i w:val="0"/>
          <w:iCs w:val="0"/>
          <w:caps w:val="0"/>
          <w:color w:val="000000"/>
          <w:spacing w:val="0"/>
          <w:sz w:val="24"/>
          <w:szCs w:val="24"/>
          <w:u w:val="single"/>
          <w:vertAlign w:val="baseline"/>
        </w:rPr>
        <w:t xml:space="preserve">（采购文件中明确的所属行业）</w:t>
      </w:r>
      <w:r>
        <w:rPr>
          <w:rFonts w:hint="eastAsia" w:ascii="宋体" w:hAnsi="宋体" w:eastAsia="宋体" w:cs="宋体"/>
          <w:b w:val="0"/>
          <w:bCs w:val="0"/>
          <w:i w:val="0"/>
          <w:iCs w:val="0"/>
          <w:caps w:val="0"/>
          <w:color w:val="000000"/>
          <w:spacing w:val="0"/>
          <w:sz w:val="24"/>
          <w:szCs w:val="24"/>
          <w:vertAlign w:val="baseline"/>
        </w:rPr>
        <w:t xml:space="preserve">；承建（承接）企业为</w:t>
      </w:r>
      <w:r>
        <w:rPr>
          <w:rFonts w:hint="eastAsia" w:ascii="宋体" w:hAnsi="宋体" w:eastAsia="宋体" w:cs="宋体"/>
          <w:b w:val="0"/>
          <w:bCs w:val="0"/>
          <w:i w:val="0"/>
          <w:iCs w:val="0"/>
          <w:caps w:val="0"/>
          <w:color w:val="000000"/>
          <w:spacing w:val="0"/>
          <w:sz w:val="24"/>
          <w:szCs w:val="24"/>
          <w:u w:val="single"/>
          <w:vertAlign w:val="baseline"/>
        </w:rPr>
        <w:t xml:space="preserve">（企业名称）</w:t>
      </w:r>
      <w:r>
        <w:rPr>
          <w:rFonts w:hint="eastAsia" w:ascii="宋体" w:hAnsi="宋体" w:eastAsia="宋体" w:cs="宋体"/>
          <w:b w:val="0"/>
          <w:bCs w:val="0"/>
          <w:i w:val="0"/>
          <w:iCs w:val="0"/>
          <w:caps w:val="0"/>
          <w:color w:val="000000"/>
          <w:spacing w:val="0"/>
          <w:sz w:val="24"/>
          <w:szCs w:val="24"/>
          <w:vertAlign w:val="baseline"/>
        </w:rPr>
        <w:t xml:space="preserve">，从业人员</w:t>
      </w:r>
      <w:r>
        <w:rPr>
          <w:rFonts w:hint="eastAsia" w:ascii="宋体" w:hAnsi="宋体" w:eastAsia="宋体" w:cs="宋体"/>
          <w:b w:val="0"/>
          <w:bCs w:val="0"/>
          <w:i w:val="0"/>
          <w:iCs w:val="0"/>
          <w:caps w:val="0"/>
          <w:color w:val="000000"/>
          <w:spacing w:val="0"/>
          <w:sz w:val="24"/>
          <w:szCs w:val="24"/>
          <w:u w:val="single"/>
          <w:vertAlign w:val="baseline"/>
        </w:rPr>
        <w:t xml:space="preserve"> </w:t>
      </w:r>
      <w:r>
        <w:rPr>
          <w:rFonts w:hint="eastAsia" w:ascii="宋体" w:hAnsi="宋体" w:eastAsia="宋体" w:cs="宋体"/>
          <w:b w:val="0"/>
          <w:bCs w:val="0"/>
          <w:i w:val="0"/>
          <w:iCs w:val="0"/>
          <w:caps w:val="0"/>
          <w:color w:val="000000"/>
          <w:spacing w:val="0"/>
          <w:sz w:val="24"/>
          <w:szCs w:val="24"/>
          <w:vertAlign w:val="baseline"/>
        </w:rPr>
        <w:t xml:space="preserve">人，营业收入为</w:t>
      </w:r>
      <w:r>
        <w:rPr>
          <w:rFonts w:hint="eastAsia" w:ascii="宋体" w:hAnsi="宋体" w:eastAsia="宋体" w:cs="宋体"/>
          <w:b w:val="0"/>
          <w:bCs w:val="0"/>
          <w:i w:val="0"/>
          <w:iCs w:val="0"/>
          <w:caps w:val="0"/>
          <w:color w:val="000000"/>
          <w:spacing w:val="0"/>
          <w:sz w:val="24"/>
          <w:szCs w:val="24"/>
          <w:u w:val="single"/>
          <w:vertAlign w:val="baseline"/>
        </w:rPr>
        <w:t xml:space="preserve"> </w:t>
      </w:r>
      <w:r>
        <w:rPr>
          <w:rFonts w:hint="eastAsia" w:ascii="宋体" w:hAnsi="宋体" w:eastAsia="宋体" w:cs="宋体"/>
          <w:b w:val="0"/>
          <w:bCs w:val="0"/>
          <w:i w:val="0"/>
          <w:iCs w:val="0"/>
          <w:caps w:val="0"/>
          <w:color w:val="000000"/>
          <w:spacing w:val="0"/>
          <w:sz w:val="24"/>
          <w:szCs w:val="24"/>
          <w:vertAlign w:val="baseline"/>
        </w:rPr>
        <w:t xml:space="preserve">万元，资产总额为</w:t>
      </w:r>
      <w:r>
        <w:rPr>
          <w:rFonts w:hint="eastAsia" w:ascii="宋体" w:hAnsi="宋体" w:eastAsia="宋体" w:cs="宋体"/>
          <w:b w:val="0"/>
          <w:bCs w:val="0"/>
          <w:i w:val="0"/>
          <w:iCs w:val="0"/>
          <w:caps w:val="0"/>
          <w:color w:val="000000"/>
          <w:spacing w:val="0"/>
          <w:sz w:val="24"/>
          <w:szCs w:val="24"/>
          <w:u w:val="single"/>
          <w:vertAlign w:val="baseline"/>
        </w:rPr>
        <w:t xml:space="preserve"> </w:t>
      </w:r>
      <w:r>
        <w:rPr>
          <w:rFonts w:hint="eastAsia" w:ascii="宋体" w:hAnsi="宋体" w:eastAsia="宋体" w:cs="宋体"/>
          <w:b w:val="0"/>
          <w:bCs w:val="0"/>
          <w:i w:val="0"/>
          <w:iCs w:val="0"/>
          <w:caps w:val="0"/>
          <w:color w:val="000000"/>
          <w:spacing w:val="0"/>
          <w:sz w:val="24"/>
          <w:szCs w:val="24"/>
          <w:vertAlign w:val="baseline"/>
        </w:rPr>
        <w:t xml:space="preserve">万元，属于</w:t>
      </w:r>
      <w:r>
        <w:rPr>
          <w:rFonts w:hint="eastAsia" w:ascii="宋体" w:hAnsi="宋体" w:eastAsia="宋体" w:cs="宋体"/>
          <w:b w:val="0"/>
          <w:bCs w:val="0"/>
          <w:i w:val="0"/>
          <w:iCs w:val="0"/>
          <w:caps w:val="0"/>
          <w:color w:val="000000"/>
          <w:spacing w:val="0"/>
          <w:sz w:val="24"/>
          <w:szCs w:val="24"/>
          <w:u w:val="single"/>
          <w:vertAlign w:val="baseline"/>
        </w:rPr>
        <w:t xml:space="preserve">（中型企业、小型企业、微型企业）</w:t>
      </w:r>
      <w:r>
        <w:rPr>
          <w:rFonts w:hint="eastAsia" w:ascii="宋体" w:hAnsi="宋体" w:eastAsia="宋体" w:cs="宋体"/>
          <w:b w:val="0"/>
          <w:bCs w:val="0"/>
          <w:i w:val="0"/>
          <w:iCs w:val="0"/>
          <w:caps w:val="0"/>
          <w:color w:val="000000"/>
          <w:spacing w:val="0"/>
          <w:sz w:val="24"/>
          <w:szCs w:val="24"/>
          <w:vertAlign w:val="baseline"/>
        </w:rPr>
        <w:t xml:space="preserve">；</w:t>
      </w:r>
      <w:r/>
    </w:p>
    <w:p>
      <w:pPr>
        <w:pStyle w:val="666"/>
        <w:ind w:left="0" w:right="0" w:firstLine="640"/>
        <w:jc w:val="left"/>
        <w:keepLines w:val="0"/>
        <w:keepNext w:val="0"/>
        <w:pageBreakBefore w:val="0"/>
        <w:spacing w:before="60" w:beforeAutospacing="0" w:after="60" w:afterAutospacing="0" w:line="360" w:lineRule="auto"/>
        <w:widowControl/>
        <w:rPr>
          <w:rFonts w:hint="eastAsia" w:ascii="等线" w:hAnsi="等线" w:eastAsia="等线" w:cs="等线"/>
          <w:sz w:val="24"/>
          <w:szCs w:val="24"/>
        </w:rPr>
        <w:suppressLineNumbers w:val="0"/>
      </w:pPr>
      <w:r>
        <w:rPr>
          <w:rFonts w:hint="eastAsia" w:ascii="宋体" w:hAnsi="宋体" w:eastAsia="宋体" w:cs="宋体"/>
          <w:b w:val="0"/>
          <w:bCs w:val="0"/>
          <w:i w:val="0"/>
          <w:iCs w:val="0"/>
          <w:caps w:val="0"/>
          <w:color w:val="000000"/>
          <w:spacing w:val="0"/>
          <w:sz w:val="24"/>
          <w:szCs w:val="24"/>
          <w:vertAlign w:val="baseline"/>
        </w:rPr>
        <w:t xml:space="preserve">……</w:t>
      </w:r>
      <w:r/>
    </w:p>
    <w:p>
      <w:pPr>
        <w:pStyle w:val="666"/>
        <w:ind w:left="0" w:right="0" w:firstLine="640"/>
        <w:jc w:val="left"/>
        <w:keepLines w:val="0"/>
        <w:keepNext w:val="0"/>
        <w:pageBreakBefore w:val="0"/>
        <w:spacing w:before="60" w:beforeAutospacing="0" w:after="60" w:afterAutospacing="0" w:line="360" w:lineRule="auto"/>
        <w:widowControl/>
        <w:rPr>
          <w:rFonts w:hint="eastAsia" w:ascii="等线" w:hAnsi="等线" w:eastAsia="等线" w:cs="等线"/>
          <w:sz w:val="24"/>
          <w:szCs w:val="24"/>
        </w:rPr>
        <w:suppressLineNumbers w:val="0"/>
      </w:pPr>
      <w:r>
        <w:rPr>
          <w:rFonts w:hint="eastAsia" w:ascii="宋体" w:hAnsi="宋体" w:eastAsia="宋体" w:cs="宋体"/>
          <w:b w:val="0"/>
          <w:bCs w:val="0"/>
          <w:i w:val="0"/>
          <w:iCs w:val="0"/>
          <w:caps w:val="0"/>
          <w:color w:val="000000"/>
          <w:spacing w:val="0"/>
          <w:sz w:val="24"/>
          <w:szCs w:val="24"/>
          <w:vertAlign w:val="baseline"/>
        </w:rPr>
        <w:t xml:space="preserve">以上企业，不属于大企业的分支机构，不存在控股股东为大企业的情形，也不存在与大企业的负责人为同一人的情形。</w:t>
      </w:r>
      <w:r/>
    </w:p>
    <w:p>
      <w:pPr>
        <w:pStyle w:val="666"/>
        <w:ind w:left="0" w:right="0" w:firstLine="640"/>
        <w:jc w:val="left"/>
        <w:keepLines w:val="0"/>
        <w:keepNext w:val="0"/>
        <w:pageBreakBefore w:val="0"/>
        <w:spacing w:before="60" w:beforeAutospacing="0" w:after="60" w:afterAutospacing="0" w:line="360" w:lineRule="auto"/>
        <w:widowControl/>
        <w:rPr>
          <w:rFonts w:hint="eastAsia" w:ascii="等线" w:hAnsi="等线" w:eastAsia="等线" w:cs="等线"/>
          <w:sz w:val="24"/>
          <w:szCs w:val="24"/>
        </w:rPr>
        <w:suppressLineNumbers w:val="0"/>
      </w:pPr>
      <w:r>
        <w:rPr>
          <w:rFonts w:hint="eastAsia" w:ascii="宋体" w:hAnsi="宋体" w:eastAsia="宋体" w:cs="宋体"/>
          <w:b w:val="0"/>
          <w:bCs w:val="0"/>
          <w:i w:val="0"/>
          <w:iCs w:val="0"/>
          <w:caps w:val="0"/>
          <w:color w:val="000000"/>
          <w:spacing w:val="0"/>
          <w:sz w:val="24"/>
          <w:szCs w:val="24"/>
          <w:vertAlign w:val="baseline"/>
        </w:rPr>
        <w:t xml:space="preserve">本企业对上述声明内容的真实性负责。如有虚假，将依法承担相应责任。</w:t>
      </w:r>
      <w:r/>
    </w:p>
    <w:p>
      <w:pPr>
        <w:ind w:firstLine="240"/>
        <w:spacing w:line="400" w:lineRule="exact"/>
        <w:rPr>
          <w:rFonts w:ascii="宋体" w:hAnsi="宋体"/>
          <w:color w:val="auto"/>
          <w:sz w:val="24"/>
          <w:szCs w:val="24"/>
          <w:highlight w:val="none"/>
        </w:rPr>
      </w:pPr>
      <w:r>
        <w:rPr>
          <w:rFonts w:ascii="宋体" w:hAnsi="宋体"/>
          <w:color w:val="auto"/>
          <w:sz w:val="24"/>
          <w:szCs w:val="24"/>
          <w:highlight w:val="none"/>
        </w:rPr>
      </w:r>
      <w:r/>
    </w:p>
    <w:p>
      <w:pPr>
        <w:pStyle w:val="666"/>
        <w:ind w:left="0" w:right="180" w:firstLine="360"/>
        <w:jc w:val="right"/>
        <w:keepLines w:val="0"/>
        <w:keepNext w:val="0"/>
        <w:spacing w:before="0" w:beforeAutospacing="0" w:after="0" w:afterAutospacing="0" w:line="0" w:lineRule="atLeast"/>
        <w:widowControl w:val="off"/>
        <w:rPr>
          <w:b w:val="0"/>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color w:val="auto"/>
          <w:sz w:val="24"/>
          <w:szCs w:val="24"/>
          <w:highlight w:val="none"/>
        </w:rPr>
        <w:t xml:space="preserve"> </w:t>
      </w:r>
      <w:r>
        <w:rPr>
          <w:rFonts w:hint="eastAsia" w:ascii="宋体" w:hAnsi="宋体" w:eastAsia="宋体" w:cs="宋体"/>
          <w:b w:val="0"/>
          <w:bCs/>
          <w:color w:val="000000"/>
          <w:sz w:val="24"/>
          <w:szCs w:val="24"/>
        </w:rPr>
        <w:t xml:space="preserve"> 企业名称（公章）：</w:t>
      </w:r>
      <w:r/>
    </w:p>
    <w:p>
      <w:pPr>
        <w:pStyle w:val="666"/>
        <w:ind w:firstLine="360"/>
        <w:jc w:val="right"/>
        <w:spacing w:beforeAutospacing="0" w:afterAutospacing="0" w:line="360" w:lineRule="auto"/>
        <w:rPr>
          <w:rFonts w:hint="eastAsia" w:ascii="仿宋" w:hAnsi="仿宋" w:eastAsia="仿宋" w:cs="仿宋"/>
          <w:b w:val="0"/>
          <w:bCs/>
          <w:color w:val="auto"/>
          <w:sz w:val="24"/>
          <w:szCs w:val="24"/>
          <w:highlight w:val="none"/>
        </w:rPr>
      </w:pPr>
      <w:r>
        <w:rPr>
          <w:rFonts w:hint="eastAsia" w:ascii="宋体" w:hAnsi="宋体" w:eastAsia="宋体" w:cs="宋体"/>
          <w:b w:val="0"/>
          <w:bCs/>
          <w:color w:val="000000"/>
          <w:sz w:val="24"/>
          <w:szCs w:val="24"/>
        </w:rPr>
        <w:t xml:space="preserve">日  期：</w:t>
      </w:r>
      <w:r/>
    </w:p>
    <w:p>
      <w:pPr>
        <w:pStyle w:val="666"/>
        <w:ind w:firstLine="48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717"/>
        <w:ind w:firstLine="48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718"/>
        <w:jc w:val="center"/>
        <w:spacing w:before="151" w:after="151" w:line="360" w:lineRule="auto"/>
        <w:rPr>
          <w:rFonts w:hint="eastAsia" w:ascii="宋体"/>
          <w:b/>
          <w:bCs/>
          <w:color w:val="auto"/>
          <w:sz w:val="32"/>
          <w:szCs w:val="32"/>
          <w:highlight w:val="none"/>
        </w:rPr>
      </w:pPr>
      <w:r/>
      <w:bookmarkStart w:id="236" w:name="_GoBack"/>
      <w:r/>
      <w:bookmarkEnd w:id="236"/>
      <w:r/>
      <w:r/>
    </w:p>
    <w:p>
      <w:pPr>
        <w:pStyle w:val="718"/>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718"/>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718"/>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718"/>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719"/>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718"/>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718"/>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719"/>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719"/>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696"/>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720"/>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720"/>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721"/>
        <w:spacing w:line="360" w:lineRule="auto"/>
        <w:rPr>
          <w:color w:val="auto"/>
          <w:highlight w:val="none"/>
        </w:rPr>
      </w:pPr>
      <w:r>
        <w:rPr>
          <w:color w:val="auto"/>
          <w:highlight w:val="none"/>
        </w:rPr>
      </w:r>
      <w:r/>
    </w:p>
    <w:p>
      <w:pPr>
        <w:pStyle w:val="718"/>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718"/>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215" w:name="_Toc5876"/>
      <w:r/>
      <w:bookmarkEnd w:id="215"/>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216" w:name="_Toc16386"/>
      <w:r/>
      <w:bookmarkEnd w:id="216"/>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217" w:name="_Toc1060"/>
      <w:r/>
      <w:bookmarkEnd w:id="217"/>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bookmarkStart w:id="218" w:name="_Toc514054497"/>
      <w:r/>
      <w:bookmarkStart w:id="219" w:name="_Toc16234"/>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r>
      <w:r/>
    </w:p>
    <w:p>
      <w:pPr>
        <w:pStyle w:val="721"/>
        <w:spacing w:line="360" w:lineRule="auto"/>
        <w:rPr>
          <w:color w:val="auto"/>
          <w:highlight w:val="none"/>
        </w:rPr>
        <w:outlineLvl w:val="1"/>
      </w:pPr>
      <w:r>
        <w:rPr>
          <w:color w:val="auto"/>
          <w:highlight w:val="none"/>
        </w:rPr>
        <w:t xml:space="preserve">十</w:t>
      </w:r>
      <w:r>
        <w:rPr>
          <w:rFonts w:hint="eastAsia"/>
          <w:color w:val="auto"/>
          <w:highlight w:val="none"/>
          <w:lang w:val="en-US" w:eastAsia="zh-CN"/>
        </w:rPr>
        <w:t xml:space="preserve">一</w:t>
      </w:r>
      <w:r>
        <w:rPr>
          <w:color w:val="auto"/>
          <w:highlight w:val="none"/>
        </w:rPr>
        <w:t xml:space="preserve">、响应偏差表</w:t>
      </w:r>
      <w:bookmarkEnd w:id="218"/>
      <w:r/>
      <w:bookmarkEnd w:id="219"/>
      <w:r/>
      <w:r/>
    </w:p>
    <w:p>
      <w:pPr>
        <w:pStyle w:val="722"/>
        <w:jc w:val="center"/>
        <w:spacing w:line="360" w:lineRule="auto"/>
        <w:rPr>
          <w:rFonts w:hint="eastAsia"/>
          <w:color w:val="auto"/>
          <w:sz w:val="32"/>
          <w:szCs w:val="32"/>
          <w:highlight w:val="none"/>
        </w:rPr>
      </w:pPr>
      <w:r/>
      <w:bookmarkStart w:id="220" w:name="_Toc29509_WPSOffice_Level2"/>
      <w:r>
        <w:rPr>
          <w:rFonts w:hint="eastAsia"/>
          <w:color w:val="auto"/>
          <w:sz w:val="32"/>
          <w:szCs w:val="32"/>
          <w:highlight w:val="none"/>
        </w:rPr>
        <w:t xml:space="preserve">（一）投标技术响应偏差表</w:t>
      </w:r>
      <w:bookmarkEnd w:id="220"/>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722"/>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722"/>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72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722"/>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722"/>
        <w:jc w:val="center"/>
        <w:spacing w:line="360" w:lineRule="auto"/>
        <w:rPr>
          <w:rFonts w:hint="eastAsia"/>
          <w:color w:val="auto"/>
          <w:sz w:val="22"/>
          <w:highlight w:val="none"/>
        </w:rPr>
      </w:pPr>
      <w:r>
        <w:rPr>
          <w:rFonts w:hint="eastAsia"/>
          <w:color w:val="auto"/>
          <w:sz w:val="22"/>
          <w:highlight w:val="none"/>
        </w:rPr>
      </w:r>
      <w:r/>
    </w:p>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696"/>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723"/>
        <w:ind w:firstLine="482"/>
        <w:spacing w:line="360" w:lineRule="auto"/>
        <w:rPr>
          <w:rFonts w:hint="eastAsia" w:hAnsi="宋体"/>
          <w:b/>
          <w:bCs/>
          <w:color w:val="auto"/>
          <w:sz w:val="24"/>
          <w:szCs w:val="28"/>
          <w:highlight w:val="none"/>
        </w:rPr>
      </w:pPr>
      <w:r>
        <w:rPr>
          <w:rFonts w:hint="eastAsia" w:hAnsi="宋体"/>
          <w:b/>
          <w:bCs/>
          <w:color w:val="auto"/>
          <w:sz w:val="24"/>
          <w:szCs w:val="28"/>
          <w:highlight w:val="none"/>
        </w:rPr>
      </w:r>
      <w:r/>
    </w:p>
    <w:p>
      <w:pPr>
        <w:pStyle w:val="723"/>
        <w:spacing w:line="360" w:lineRule="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w:t>
      </w:r>
      <w:r>
        <w:rPr>
          <w:rFonts w:hint="eastAsia" w:hAnsi="宋体"/>
          <w:b/>
          <w:bCs/>
          <w:color w:val="auto"/>
          <w:sz w:val="24"/>
          <w:szCs w:val="28"/>
          <w:highlight w:val="none"/>
          <w:lang w:val="en-US" w:eastAsia="zh-CN"/>
        </w:rPr>
        <w:t xml:space="preserve">参数</w:t>
      </w:r>
      <w:r>
        <w:rPr>
          <w:rFonts w:hint="eastAsia" w:hAnsi="宋体"/>
          <w:b/>
          <w:bCs/>
          <w:color w:val="auto"/>
          <w:sz w:val="24"/>
          <w:szCs w:val="28"/>
          <w:highlight w:val="none"/>
        </w:rPr>
        <w:t xml:space="preserve">要求须逐条应答。</w:t>
      </w:r>
      <w:r/>
    </w:p>
    <w:p>
      <w:pPr>
        <w:pStyle w:val="722"/>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724"/>
        <w:spacing w:line="360" w:lineRule="auto"/>
        <w:rPr>
          <w:rFonts w:hint="eastAsia"/>
          <w:color w:val="auto"/>
          <w:highlight w:val="none"/>
        </w:rPr>
      </w:pPr>
      <w:r>
        <w:rPr>
          <w:rFonts w:hint="eastAsia" w:ascii="宋体" w:hAnsi="宋体"/>
          <w:b/>
          <w:bCs/>
          <w:color w:val="auto"/>
          <w:sz w:val="24"/>
          <w:szCs w:val="28"/>
          <w:highlight w:val="none"/>
        </w:rPr>
        <w:t xml:space="preserve">3、响应部分可后附详细说明及技术资料。</w:t>
      </w:r>
      <w:r/>
    </w:p>
    <w:p>
      <w:pPr>
        <w:pStyle w:val="725"/>
        <w:jc w:val="center"/>
        <w:spacing w:line="360" w:lineRule="auto"/>
        <w:rPr>
          <w:rFonts w:hint="eastAsia"/>
          <w:color w:val="auto"/>
          <w:highlight w:val="none"/>
        </w:rPr>
      </w:pPr>
      <w:r>
        <w:rPr>
          <w:rFonts w:hint="eastAsia"/>
          <w:color w:val="auto"/>
          <w:highlight w:val="none"/>
        </w:rPr>
      </w:r>
      <w:r/>
    </w:p>
    <w:p>
      <w:pPr>
        <w:pStyle w:val="725"/>
        <w:jc w:val="center"/>
        <w:spacing w:line="360" w:lineRule="auto"/>
        <w:rPr>
          <w:rFonts w:hint="eastAsia"/>
          <w:color w:val="auto"/>
          <w:highlight w:val="none"/>
        </w:rPr>
      </w:pPr>
      <w:r>
        <w:rPr>
          <w:rFonts w:hint="eastAsia"/>
          <w:color w:val="auto"/>
          <w:highlight w:val="none"/>
        </w:rPr>
      </w:r>
      <w:r/>
    </w:p>
    <w:p>
      <w:pPr>
        <w:pStyle w:val="725"/>
        <w:jc w:val="center"/>
        <w:spacing w:line="360" w:lineRule="auto"/>
        <w:rPr>
          <w:rFonts w:hint="eastAsia"/>
          <w:color w:val="auto"/>
          <w:highlight w:val="none"/>
        </w:rPr>
      </w:pPr>
      <w:r>
        <w:rPr>
          <w:rFonts w:hint="eastAsia"/>
          <w:color w:val="auto"/>
          <w:highlight w:val="none"/>
        </w:rPr>
      </w:r>
      <w:r/>
    </w:p>
    <w:p>
      <w:pPr>
        <w:pStyle w:val="725"/>
        <w:jc w:val="center"/>
        <w:spacing w:line="360" w:lineRule="auto"/>
        <w:rPr>
          <w:rFonts w:hint="eastAsia"/>
          <w:color w:val="auto"/>
          <w:highlight w:val="none"/>
        </w:rPr>
      </w:pPr>
      <w:r>
        <w:rPr>
          <w:rFonts w:hint="eastAsia"/>
          <w:color w:val="auto"/>
          <w:highlight w:val="none"/>
        </w:rPr>
      </w:r>
      <w:r/>
    </w:p>
    <w:p>
      <w:pPr>
        <w:pStyle w:val="725"/>
        <w:jc w:val="center"/>
        <w:spacing w:line="360" w:lineRule="auto"/>
        <w:rPr>
          <w:rFonts w:hint="eastAsia"/>
          <w:color w:val="auto"/>
          <w:highlight w:val="none"/>
        </w:rPr>
      </w:pPr>
      <w:r>
        <w:rPr>
          <w:rFonts w:hint="eastAsia"/>
          <w:color w:val="auto"/>
          <w:highlight w:val="none"/>
        </w:rPr>
      </w:r>
      <w:r/>
    </w:p>
    <w:p>
      <w:pPr>
        <w:pStyle w:val="725"/>
        <w:jc w:val="center"/>
        <w:spacing w:line="360" w:lineRule="auto"/>
        <w:rPr>
          <w:rFonts w:hint="eastAsia"/>
          <w:color w:val="auto"/>
          <w:highlight w:val="none"/>
        </w:rPr>
        <w:outlineLvl w:val="1"/>
      </w:pPr>
      <w:r/>
      <w:bookmarkStart w:id="221" w:name="_Toc3171_WPSOffice_Level2"/>
      <w:r/>
      <w:bookmarkStart w:id="222" w:name="_Toc514054498"/>
      <w:r/>
      <w:bookmarkStart w:id="223" w:name="_Toc9396"/>
      <w:r>
        <w:rPr>
          <w:rFonts w:hint="eastAsia"/>
          <w:color w:val="auto"/>
          <w:highlight w:val="none"/>
          <w:lang w:eastAsia="zh-CN"/>
        </w:rPr>
        <w:t xml:space="preserve">（二）投标商务偏离表</w:t>
      </w:r>
      <w:bookmarkEnd w:id="221"/>
      <w:r/>
      <w:bookmarkEnd w:id="222"/>
      <w:r/>
      <w:bookmarkEnd w:id="223"/>
      <w:r/>
      <w:r/>
    </w:p>
    <w:tbl>
      <w:tblPr>
        <w:tblStyle w:val="663"/>
        <w:tblW w:w="8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078"/>
        <w:gridCol w:w="2146"/>
        <w:gridCol w:w="2760"/>
      </w:tblGrid>
      <w:tr>
        <w:trPr>
          <w:jc w:val="center"/>
          <w:trHeight w:val="672"/>
        </w:trPr>
        <w:tc>
          <w:tcPr>
            <w:tcW w:w="1449" w:type="dxa"/>
            <w:vAlign w:val="center"/>
            <w:textDirection w:val="lrTb"/>
            <w:noWrap w:val="false"/>
          </w:tcPr>
          <w:p>
            <w:pPr>
              <w:pStyle w:val="72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078" w:type="dxa"/>
            <w:vAlign w:val="center"/>
            <w:textDirection w:val="lrTb"/>
            <w:noWrap w:val="false"/>
          </w:tcPr>
          <w:p>
            <w:pPr>
              <w:pStyle w:val="722"/>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146" w:type="dxa"/>
            <w:vAlign w:val="center"/>
            <w:textDirection w:val="lrTb"/>
            <w:noWrap w:val="false"/>
          </w:tcPr>
          <w:p>
            <w:pPr>
              <w:pStyle w:val="72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0" w:type="dxa"/>
            <w:vAlign w:val="center"/>
            <w:textDirection w:val="lrTb"/>
            <w:noWrap w:val="false"/>
          </w:tcPr>
          <w:p>
            <w:pPr>
              <w:pStyle w:val="72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722"/>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696"/>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722"/>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w:t>
      </w:r>
      <w:r>
        <w:rPr>
          <w:rFonts w:hint="eastAsia" w:ascii="宋体" w:hAnsi="宋体"/>
          <w:b/>
          <w:bCs/>
          <w:color w:val="auto"/>
          <w:sz w:val="24"/>
          <w:szCs w:val="28"/>
          <w:highlight w:val="none"/>
          <w:lang w:val="en-US" w:eastAsia="zh-CN"/>
        </w:rPr>
        <w:t xml:space="preserve">要求</w:t>
      </w:r>
      <w:r>
        <w:rPr>
          <w:rFonts w:hint="eastAsia" w:ascii="宋体" w:hAnsi="宋体"/>
          <w:b/>
          <w:bCs/>
          <w:color w:val="auto"/>
          <w:sz w:val="24"/>
          <w:szCs w:val="28"/>
          <w:highlight w:val="none"/>
        </w:rPr>
        <w:t xml:space="preserve">如与招标文件要求的不一致，则须在上表偏离说明中详细注明。</w:t>
      </w:r>
      <w:r/>
    </w:p>
    <w:p>
      <w:pPr>
        <w:pStyle w:val="721"/>
        <w:spacing w:line="360" w:lineRule="auto"/>
        <w:rPr>
          <w:color w:val="auto"/>
          <w:highlight w:val="none"/>
        </w:rPr>
        <w:outlineLvl w:val="1"/>
      </w:pPr>
      <w:r>
        <w:rPr>
          <w:color w:val="auto"/>
          <w:highlight w:val="none"/>
        </w:rPr>
        <w:br w:type="page" w:clear="all"/>
      </w:r>
      <w:bookmarkStart w:id="224" w:name="_Toc514054502"/>
      <w:r/>
      <w:bookmarkStart w:id="225" w:name="_Toc15828"/>
      <w:r/>
      <w:bookmarkStart w:id="226" w:name="_Toc25001_WPSOffice_Level2"/>
      <w:r>
        <w:rPr>
          <w:color w:val="auto"/>
          <w:highlight w:val="none"/>
        </w:rPr>
        <w:t xml:space="preserve">十</w:t>
      </w:r>
      <w:r>
        <w:rPr>
          <w:rFonts w:hint="eastAsia"/>
          <w:color w:val="auto"/>
          <w:highlight w:val="none"/>
          <w:lang w:val="en-US" w:eastAsia="zh-CN"/>
        </w:rPr>
        <w:t xml:space="preserve">二</w:t>
      </w:r>
      <w:r>
        <w:rPr>
          <w:color w:val="auto"/>
          <w:highlight w:val="none"/>
        </w:rPr>
        <w:t xml:space="preserve">、</w:t>
      </w:r>
      <w:r>
        <w:rPr>
          <w:rFonts w:hint="eastAsia"/>
          <w:color w:val="auto"/>
          <w:highlight w:val="none"/>
          <w:lang w:val="en-US" w:eastAsia="zh-CN"/>
        </w:rPr>
        <w:t xml:space="preserve">服务</w:t>
      </w:r>
      <w:r>
        <w:rPr>
          <w:color w:val="auto"/>
          <w:highlight w:val="none"/>
        </w:rPr>
        <w:t xml:space="preserve">方案</w:t>
      </w:r>
      <w:bookmarkEnd w:id="224"/>
      <w:r/>
      <w:bookmarkEnd w:id="225"/>
      <w:r/>
      <w:bookmarkEnd w:id="226"/>
      <w:r/>
      <w:r/>
    </w:p>
    <w:p>
      <w:pPr>
        <w:pStyle w:val="731"/>
        <w:jc w:val="center"/>
        <w:spacing w:line="360" w:lineRule="auto"/>
        <w:rPr>
          <w:rFonts w:hint="eastAsia" w:ascii="宋体"/>
          <w:b/>
          <w:bCs/>
          <w:color w:val="auto"/>
          <w:sz w:val="32"/>
          <w:szCs w:val="32"/>
          <w:highlight w:val="none"/>
        </w:rPr>
      </w:pPr>
      <w:r/>
      <w:bookmarkStart w:id="227" w:name="_Toc2882_WPSOffice_Level2"/>
      <w:r>
        <w:rPr>
          <w:rFonts w:hint="eastAsia" w:ascii="宋体"/>
          <w:b/>
          <w:bCs/>
          <w:color w:val="auto"/>
          <w:sz w:val="32"/>
          <w:szCs w:val="32"/>
          <w:highlight w:val="none"/>
        </w:rPr>
        <w:t xml:space="preserve">按照招标文件要求，格式自拟</w:t>
      </w:r>
      <w:bookmarkEnd w:id="227"/>
      <w:r/>
      <w:r/>
    </w:p>
    <w:p>
      <w:pPr>
        <w:pStyle w:val="732"/>
        <w:spacing w:line="360" w:lineRule="auto"/>
        <w:rPr>
          <w:color w:val="auto"/>
          <w:highlight w:val="none"/>
        </w:rPr>
        <w:outlineLvl w:val="1"/>
      </w:pPr>
      <w:r>
        <w:rPr>
          <w:color w:val="auto"/>
          <w:highlight w:val="none"/>
        </w:rPr>
        <w:br w:type="page" w:clear="all"/>
      </w:r>
      <w:bookmarkStart w:id="228" w:name="_Toc5519"/>
      <w:r/>
      <w:bookmarkStart w:id="229" w:name="_Toc30208_WPSOffice_Level2"/>
      <w:r/>
      <w:bookmarkStart w:id="230" w:name="_Toc514054504"/>
      <w:r>
        <w:rPr>
          <w:color w:val="auto"/>
          <w:highlight w:val="none"/>
        </w:rPr>
        <w:t xml:space="preserve">十</w:t>
      </w:r>
      <w:r>
        <w:rPr>
          <w:rFonts w:hint="eastAsia"/>
          <w:color w:val="auto"/>
          <w:highlight w:val="none"/>
          <w:lang w:val="en-US" w:eastAsia="zh-CN"/>
        </w:rPr>
        <w:t xml:space="preserve">三</w:t>
      </w:r>
      <w:r>
        <w:rPr>
          <w:color w:val="auto"/>
          <w:highlight w:val="none"/>
        </w:rPr>
        <w:t xml:space="preserve">、投标人项目业绩一览表</w:t>
      </w:r>
      <w:bookmarkEnd w:id="228"/>
      <w:r/>
      <w:bookmarkEnd w:id="229"/>
      <w:r/>
      <w:bookmarkEnd w:id="230"/>
      <w:r/>
      <w:r/>
    </w:p>
    <w:p>
      <w:pPr>
        <w:pStyle w:val="733"/>
        <w:jc w:val="center"/>
        <w:spacing w:line="360" w:lineRule="auto"/>
        <w:rPr>
          <w:b/>
          <w:color w:val="auto"/>
          <w:sz w:val="32"/>
          <w:szCs w:val="32"/>
          <w:highlight w:val="none"/>
        </w:rPr>
      </w:pPr>
      <w:r/>
      <w:bookmarkStart w:id="231" w:name="_Toc10294_WPSOffice_Level2"/>
      <w:r>
        <w:rPr>
          <w:rFonts w:hint="eastAsia"/>
          <w:b/>
          <w:color w:val="auto"/>
          <w:sz w:val="32"/>
          <w:szCs w:val="32"/>
          <w:highlight w:val="none"/>
        </w:rPr>
        <w:t xml:space="preserve">项目业绩一览表</w:t>
      </w:r>
      <w:bookmarkEnd w:id="231"/>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734"/>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734"/>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734"/>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734"/>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734"/>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735"/>
        <w:spacing w:line="360" w:lineRule="auto"/>
        <w:rPr>
          <w:color w:val="auto"/>
          <w:highlight w:val="none"/>
        </w:rPr>
        <w:outlineLvl w:val="1"/>
      </w:pPr>
      <w:r>
        <w:rPr>
          <w:color w:val="auto"/>
          <w:highlight w:val="none"/>
        </w:rPr>
        <w:br w:type="page" w:clear="all"/>
      </w:r>
      <w:bookmarkStart w:id="232" w:name="_Toc514054505"/>
      <w:r/>
      <w:bookmarkStart w:id="233" w:name="_Toc502821163"/>
      <w:r/>
      <w:bookmarkStart w:id="234" w:name="_Toc15753"/>
      <w:r/>
      <w:bookmarkStart w:id="235" w:name="_Toc30836_WPSOffice_Level2"/>
      <w:r>
        <w:rPr>
          <w:color w:val="auto"/>
          <w:highlight w:val="none"/>
        </w:rPr>
        <w:t xml:space="preserve">十</w:t>
      </w:r>
      <w:r>
        <w:rPr>
          <w:rFonts w:hint="eastAsia"/>
          <w:color w:val="auto"/>
          <w:highlight w:val="none"/>
          <w:lang w:val="en-US" w:eastAsia="zh-CN"/>
        </w:rPr>
        <w:t xml:space="preserve">四</w:t>
      </w:r>
      <w:r>
        <w:rPr>
          <w:color w:val="auto"/>
          <w:highlight w:val="none"/>
        </w:rPr>
        <w:t xml:space="preserve">、投标所需其他材料</w:t>
      </w:r>
      <w:bookmarkEnd w:id="232"/>
      <w:r/>
      <w:bookmarkEnd w:id="233"/>
      <w:r/>
      <w:bookmarkEnd w:id="234"/>
      <w:r/>
      <w:bookmarkEnd w:id="235"/>
      <w:r/>
      <w:r/>
    </w:p>
    <w:p>
      <w:pPr>
        <w:pStyle w:val="736"/>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735"/>
        <w:spacing w:line="360" w:lineRule="auto"/>
        <w:rPr>
          <w:color w:val="auto"/>
        </w:rPr>
        <w:outlineLvl w:val="1"/>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Wingdings">
    <w:panose1 w:val="05000000000000000000"/>
  </w:font>
  <w:font w:name="华文楷体">
    <w:panose1 w:val="02010600040101010101"/>
  </w:font>
  <w:font w:name="_x000B__x000C_">
    <w:panose1 w:val="020B0503020202020204"/>
  </w:font>
  <w:font w:name="Calibri">
    <w:panose1 w:val="020F0502020204030204"/>
  </w:font>
  <w:font w:name="黑体">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7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2"/>
    <w:link w:val="12"/>
    <w:uiPriority w:val="9"/>
    <w:rPr>
      <w:rFonts w:ascii="Arial" w:hAnsi="Arial" w:eastAsia="Arial" w:cs="Arial"/>
      <w:sz w:val="40"/>
      <w:szCs w:val="40"/>
    </w:rPr>
  </w:style>
  <w:style w:type="character" w:styleId="15">
    <w:name w:val="Heading 2 Char"/>
    <w:basedOn w:val="662"/>
    <w:link w:val="661"/>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2"/>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2"/>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2"/>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2"/>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2"/>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2"/>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2"/>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2"/>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662"/>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662"/>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2"/>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2"/>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link w:val="7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2"/>
    <w:basedOn w:val="660"/>
    <w:next w:val="660"/>
    <w:uiPriority w:val="0"/>
    <w:unhideWhenUsed/>
    <w:qFormat/>
    <w:pPr>
      <w:keepLines/>
      <w:keepNext/>
      <w:spacing w:before="160" w:after="80"/>
      <w:outlineLvl w:val="1"/>
    </w:pPr>
    <w:rPr>
      <w:rFonts w:asciiTheme="majorHAnsi" w:hAnsiTheme="majorHAnsi" w:eastAsiaTheme="majorEastAsia" w:cstheme="majorBidi"/>
      <w:color w:val="2e54a1" w:themeColor="accent1" w:themeShade="BF"/>
      <w:sz w:val="40"/>
      <w:szCs w:val="40"/>
    </w:rPr>
  </w:style>
  <w:style w:type="character" w:styleId="662" w:default="1">
    <w:name w:val="Default Paragraph Font"/>
    <w:uiPriority w:val="0"/>
    <w:semiHidden/>
    <w:qFormat/>
  </w:style>
  <w:style w:type="table" w:styleId="663" w:default="1">
    <w:name w:val="Normal Table"/>
    <w:uiPriority w:val="0"/>
    <w:semiHidden/>
    <w:qFormat/>
    <w:tblPr>
      <w:tblCellMar>
        <w:left w:w="108" w:type="dxa"/>
        <w:top w:w="0" w:type="dxa"/>
        <w:right w:w="108" w:type="dxa"/>
        <w:bottom w:w="0" w:type="dxa"/>
      </w:tblCellMar>
    </w:tblPr>
  </w:style>
  <w:style w:type="paragraph" w:styleId="664">
    <w:name w:val="toa heading"/>
    <w:basedOn w:val="660"/>
    <w:next w:val="660"/>
    <w:uiPriority w:val="99"/>
    <w:unhideWhenUsed/>
    <w:qFormat/>
    <w:pPr>
      <w:spacing w:before="120"/>
    </w:pPr>
    <w:rPr>
      <w:rFonts w:ascii="Cambria" w:hAnsi="Cambria" w:eastAsia="宋体" w:cs="Times New Roman"/>
      <w:sz w:val="24"/>
      <w:szCs w:val="21"/>
    </w:rPr>
  </w:style>
  <w:style w:type="paragraph" w:styleId="665">
    <w:name w:val="Body Text"/>
    <w:basedOn w:val="660"/>
    <w:uiPriority w:val="0"/>
    <w:qFormat/>
    <w:pPr>
      <w:spacing w:line="60" w:lineRule="auto"/>
    </w:pPr>
    <w:rPr>
      <w:rFonts w:ascii="仿宋_GB2312" w:eastAsia="仿宋_GB2312"/>
      <w:sz w:val="32"/>
    </w:rPr>
  </w:style>
  <w:style w:type="paragraph" w:styleId="666">
    <w:name w:val="Normal (Web)"/>
    <w:basedOn w:val="660"/>
    <w:uiPriority w:val="0"/>
    <w:qFormat/>
    <w:pPr>
      <w:ind w:firstLine="562"/>
      <w:spacing w:beforeAutospacing="1" w:afterAutospacing="1"/>
    </w:pPr>
    <w:rPr>
      <w:b/>
      <w:sz w:val="28"/>
    </w:rPr>
  </w:style>
  <w:style w:type="table" w:styleId="6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68" w:customStyle="1">
    <w:name w:val="正文文本1"/>
    <w:basedOn w:val="660"/>
    <w:uiPriority w:val="0"/>
    <w:qFormat/>
    <w:pPr>
      <w:spacing w:line="60" w:lineRule="auto"/>
    </w:pPr>
    <w:rPr>
      <w:rFonts w:ascii="仿宋_GB2312" w:eastAsia="仿宋_GB2312"/>
      <w:sz w:val="32"/>
    </w:rPr>
  </w:style>
  <w:style w:type="paragraph" w:styleId="669" w:customStyle="1">
    <w:name w:val="WPSOffice手动目录 1"/>
    <w:uiPriority w:val="0"/>
    <w:qFormat/>
    <w:rPr>
      <w:rFonts w:hint="default" w:ascii="Times New Roman" w:hAnsi="Times New Roman" w:eastAsia="宋体" w:cs="Times New Roman"/>
      <w:lang w:val="en-US" w:eastAsia="zh-CN" w:bidi="ar-SA"/>
    </w:rPr>
  </w:style>
  <w:style w:type="paragraph" w:styleId="670" w:customStyle="1">
    <w:name w:val="WPSOffice手动目录 2"/>
    <w:uiPriority w:val="0"/>
    <w:qFormat/>
    <w:rPr>
      <w:rFonts w:hint="default" w:ascii="Times New Roman" w:hAnsi="Times New Roman" w:eastAsia="宋体" w:cs="Times New Roman"/>
      <w:lang w:val="en-US" w:eastAsia="zh-CN" w:bidi="ar-SA"/>
    </w:rPr>
  </w:style>
  <w:style w:type="paragraph" w:styleId="671" w:customStyle="1">
    <w:name w:val="列出段落1"/>
    <w:basedOn w:val="660"/>
    <w:uiPriority w:val="99"/>
    <w:qFormat/>
    <w:pPr>
      <w:ind w:firstLine="200"/>
    </w:pPr>
    <w:rPr>
      <w:rFonts w:ascii="Calibri" w:hAnsi="Calibri"/>
      <w:szCs w:val="22"/>
    </w:rPr>
  </w:style>
  <w:style w:type="paragraph" w:styleId="672" w:customStyle="1">
    <w:name w:val="列出段落"/>
    <w:basedOn w:val="660"/>
    <w:uiPriority w:val="34"/>
    <w:qFormat/>
    <w:pPr>
      <w:ind w:firstLine="420"/>
    </w:pPr>
  </w:style>
  <w:style w:type="paragraph" w:styleId="673" w:customStyle="1">
    <w:name w:val="列出段落2"/>
    <w:basedOn w:val="660"/>
    <w:uiPriority w:val="0"/>
    <w:qFormat/>
    <w:pPr>
      <w:ind w:firstLine="420"/>
    </w:pPr>
    <w:rPr>
      <w:rFonts w:ascii="Times New Roman" w:hAnsi="Times New Roman" w:eastAsia="宋体" w:cs="Times New Roman"/>
    </w:rPr>
  </w:style>
  <w:style w:type="paragraph" w:styleId="674"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675"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676" w:customStyle="1">
    <w:name w:val="Normal_0"/>
    <w:next w:val="677"/>
    <w:uiPriority w:val="0"/>
    <w:qFormat/>
    <w:rPr>
      <w:rFonts w:hint="default" w:ascii="黑体" w:hAnsi="黑体" w:eastAsia="黑体" w:cs="Times New Roman"/>
      <w:b/>
      <w:sz w:val="32"/>
      <w:szCs w:val="24"/>
      <w:lang w:bidi="ar-SA"/>
    </w:rPr>
  </w:style>
  <w:style w:type="paragraph" w:styleId="677" w:customStyle="1">
    <w:name w:val="首行缩进_0"/>
    <w:basedOn w:val="676"/>
    <w:uiPriority w:val="0"/>
    <w:qFormat/>
    <w:pPr>
      <w:ind w:firstLine="480"/>
      <w:jc w:val="left"/>
      <w:spacing w:line="360" w:lineRule="auto"/>
    </w:pPr>
    <w:rPr>
      <w:rFonts w:ascii="宋体" w:hAnsi="宋体"/>
      <w:sz w:val="24"/>
    </w:rPr>
  </w:style>
  <w:style w:type="paragraph" w:styleId="678" w:customStyle="1">
    <w:name w:val="正文文本缩进11"/>
    <w:basedOn w:val="660"/>
    <w:uiPriority w:val="0"/>
    <w:qFormat/>
    <w:pPr>
      <w:ind w:firstLine="225"/>
    </w:pPr>
    <w:rPr>
      <w:rFonts w:ascii="仿宋_GB2312" w:eastAsia="仿宋_GB2312"/>
      <w:sz w:val="32"/>
    </w:rPr>
  </w:style>
  <w:style w:type="paragraph" w:styleId="679" w:customStyle="1">
    <w:name w:val="普通正文"/>
    <w:basedOn w:val="660"/>
    <w:uiPriority w:val="0"/>
    <w:qFormat/>
    <w:pPr>
      <w:ind w:firstLine="425"/>
      <w:jc w:val="left"/>
    </w:pPr>
    <w:rPr>
      <w:rFonts w:ascii="宋体"/>
      <w:sz w:val="20"/>
      <w:szCs w:val="20"/>
    </w:rPr>
  </w:style>
  <w:style w:type="paragraph" w:styleId="680" w:customStyle="1">
    <w:name w:val="列出段落3"/>
    <w:basedOn w:val="660"/>
    <w:uiPriority w:val="0"/>
    <w:qFormat/>
    <w:pPr>
      <w:ind w:firstLine="420"/>
    </w:pPr>
    <w:rPr>
      <w:rFonts w:ascii="Times New Roman" w:hAnsi="Times New Roman" w:eastAsia="宋体" w:cs="Times New Roman"/>
      <w:szCs w:val="20"/>
    </w:rPr>
  </w:style>
  <w:style w:type="character" w:styleId="681" w:customStyle="1">
    <w:name w:val="NormalCharacter1"/>
    <w:link w:val="660"/>
    <w:uiPriority w:val="0"/>
    <w:semiHidden/>
    <w:qFormat/>
    <w:rPr>
      <w:rFonts w:hint="default" w:ascii="Times New Roman" w:hAnsi="Times New Roman" w:eastAsia="宋体" w:cs="Times New Roman"/>
      <w:sz w:val="21"/>
      <w:szCs w:val="22"/>
      <w:lang w:val="en-US" w:eastAsia="zh-CN" w:bidi="ar-SA"/>
    </w:rPr>
  </w:style>
  <w:style w:type="character" w:styleId="682" w:customStyle="1">
    <w:name w:val="wyg1"/>
    <w:link w:val="660"/>
    <w:uiPriority w:val="0"/>
    <w:qFormat/>
    <w:rPr>
      <w:color w:val="000000"/>
      <w:sz w:val="20"/>
      <w:szCs w:val="20"/>
      <w:u w:val="none"/>
    </w:rPr>
  </w:style>
  <w:style w:type="character" w:styleId="683" w:customStyle="1">
    <w:name w:val="s141"/>
    <w:link w:val="660"/>
    <w:uiPriority w:val="0"/>
    <w:qFormat/>
    <w:rPr>
      <w:rFonts w:ascii="_x000B__x000C_" w:hAnsi="_x000B__x000C_"/>
      <w:sz w:val="21"/>
      <w:szCs w:val="21"/>
    </w:rPr>
  </w:style>
  <w:style w:type="paragraph" w:styleId="684" w:customStyle="1">
    <w:name w:val="纯文本11"/>
    <w:basedOn w:val="660"/>
    <w:uiPriority w:val="0"/>
    <w:qFormat/>
    <w:rPr>
      <w:rFonts w:ascii="宋体"/>
      <w:szCs w:val="21"/>
    </w:rPr>
  </w:style>
  <w:style w:type="paragraph" w:styleId="685" w:customStyle="1">
    <w:name w:val="Normal_0_3"/>
    <w:uiPriority w:val="0"/>
    <w:qFormat/>
    <w:rPr>
      <w:rFonts w:hint="default" w:ascii="黑体" w:hAnsi="黑体" w:eastAsia="黑体" w:cs="Times New Roman"/>
      <w:b/>
      <w:sz w:val="32"/>
      <w:szCs w:val="24"/>
      <w:lang w:bidi="ar-SA"/>
    </w:rPr>
  </w:style>
  <w:style w:type="paragraph" w:styleId="68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customStyle="1">
    <w:name w:val="Normal_0_2"/>
    <w:uiPriority w:val="0"/>
    <w:qFormat/>
    <w:rPr>
      <w:rFonts w:hint="default" w:ascii="黑体" w:hAnsi="黑体" w:eastAsia="黑体" w:cs="Times New Roman"/>
      <w:b/>
      <w:sz w:val="32"/>
      <w:szCs w:val="24"/>
      <w:lang w:bidi="ar-SA"/>
    </w:rPr>
  </w:style>
  <w:style w:type="paragraph" w:styleId="688" w:customStyle="1">
    <w:name w:val="Normal_1_2"/>
    <w:uiPriority w:val="0"/>
    <w:qFormat/>
    <w:rPr>
      <w:rFonts w:hint="default" w:ascii="Times New Roman" w:hAnsi="Times New Roman" w:eastAsia="Times New Roman" w:cs="Times New Roman"/>
      <w:sz w:val="24"/>
      <w:szCs w:val="24"/>
      <w:lang w:bidi="ar-SA"/>
    </w:rPr>
  </w:style>
  <w:style w:type="paragraph" w:styleId="689" w:customStyle="1">
    <w:name w:val="Normal_0_1"/>
    <w:uiPriority w:val="0"/>
    <w:qFormat/>
    <w:rPr>
      <w:rFonts w:hint="default" w:ascii="黑体" w:hAnsi="黑体" w:eastAsia="黑体" w:cs="Times New Roman"/>
      <w:b/>
      <w:sz w:val="32"/>
      <w:szCs w:val="24"/>
      <w:lang w:bidi="ar-SA"/>
    </w:rPr>
  </w:style>
  <w:style w:type="paragraph" w:styleId="69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customStyle="1">
    <w:name w:val="Normal_1_1"/>
    <w:uiPriority w:val="0"/>
    <w:qFormat/>
    <w:rPr>
      <w:rFonts w:hint="default" w:ascii="黑体" w:hAnsi="黑体" w:eastAsia="黑体" w:cs="Times New Roman"/>
      <w:b/>
      <w:sz w:val="32"/>
      <w:szCs w:val="24"/>
      <w:lang w:bidi="ar-SA"/>
    </w:rPr>
  </w:style>
  <w:style w:type="paragraph" w:styleId="692" w:customStyle="1">
    <w:name w:val="Normal_2_0"/>
    <w:uiPriority w:val="0"/>
    <w:qFormat/>
    <w:rPr>
      <w:rFonts w:hint="default" w:ascii="黑体" w:hAnsi="黑体" w:eastAsia="黑体" w:cs="Times New Roman"/>
      <w:b/>
      <w:sz w:val="32"/>
      <w:szCs w:val="24"/>
      <w:lang w:bidi="ar-SA"/>
    </w:rPr>
  </w:style>
  <w:style w:type="paragraph" w:styleId="693"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4" w:customStyle="1">
    <w:name w:val="Normal_3_0"/>
    <w:uiPriority w:val="0"/>
    <w:qFormat/>
    <w:rPr>
      <w:rFonts w:hint="default" w:ascii="黑体" w:hAnsi="黑体" w:eastAsia="黑体" w:cs="Times New Roman"/>
      <w:b/>
      <w:sz w:val="32"/>
      <w:szCs w:val="24"/>
      <w:lang w:bidi="ar-SA"/>
    </w:rPr>
  </w:style>
  <w:style w:type="paragraph" w:styleId="695"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6"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697"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customStyle="1">
    <w:name w:val="Normal_4_0"/>
    <w:uiPriority w:val="0"/>
    <w:qFormat/>
    <w:rPr>
      <w:rFonts w:hint="default" w:ascii="黑体" w:hAnsi="黑体" w:eastAsia="黑体" w:cs="Times New Roman"/>
      <w:b/>
      <w:sz w:val="32"/>
      <w:szCs w:val="24"/>
      <w:lang w:bidi="ar-SA"/>
    </w:rPr>
  </w:style>
  <w:style w:type="paragraph" w:styleId="699" w:customStyle="1">
    <w:name w:val="Normal_5_0"/>
    <w:uiPriority w:val="0"/>
    <w:qFormat/>
    <w:rPr>
      <w:rFonts w:hint="default" w:ascii="黑体" w:hAnsi="黑体" w:eastAsia="黑体" w:cs="Times New Roman"/>
      <w:b/>
      <w:sz w:val="32"/>
      <w:szCs w:val="24"/>
      <w:lang w:bidi="ar-SA"/>
    </w:rPr>
  </w:style>
  <w:style w:type="paragraph" w:styleId="700"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701"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customStyle="1">
    <w:name w:val="Normal_6_0"/>
    <w:uiPriority w:val="0"/>
    <w:qFormat/>
    <w:rPr>
      <w:rFonts w:hint="default" w:ascii="黑体" w:hAnsi="黑体" w:eastAsia="黑体" w:cs="Times New Roman"/>
      <w:b/>
      <w:sz w:val="32"/>
      <w:szCs w:val="24"/>
      <w:lang w:bidi="ar-SA"/>
    </w:rPr>
  </w:style>
  <w:style w:type="paragraph" w:styleId="70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customStyle="1">
    <w:name w:val="Normal_7_0"/>
    <w:uiPriority w:val="0"/>
    <w:qFormat/>
    <w:rPr>
      <w:rFonts w:hint="default" w:ascii="黑体" w:hAnsi="黑体" w:eastAsia="黑体" w:cs="Times New Roman"/>
      <w:b/>
      <w:sz w:val="32"/>
      <w:szCs w:val="24"/>
      <w:lang w:bidi="ar-SA"/>
    </w:rPr>
  </w:style>
  <w:style w:type="paragraph" w:styleId="70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70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9"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711"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2" w:customStyle="1">
    <w:name w:val="Normal_8_0"/>
    <w:uiPriority w:val="0"/>
    <w:qFormat/>
    <w:rPr>
      <w:rFonts w:hint="default" w:ascii="黑体" w:hAnsi="黑体" w:eastAsia="黑体" w:cs="Times New Roman"/>
      <w:b/>
      <w:sz w:val="32"/>
      <w:szCs w:val="24"/>
      <w:lang w:bidi="ar-SA"/>
    </w:rPr>
  </w:style>
  <w:style w:type="paragraph" w:styleId="713" w:customStyle="1">
    <w:name w:val="Normal_10_0"/>
    <w:uiPriority w:val="0"/>
    <w:qFormat/>
    <w:rPr>
      <w:rFonts w:hint="default" w:ascii="黑体" w:hAnsi="黑体" w:eastAsia="黑体" w:cs="Times New Roman"/>
      <w:b/>
      <w:sz w:val="32"/>
      <w:szCs w:val="24"/>
      <w:lang w:bidi="ar-SA"/>
    </w:rPr>
  </w:style>
  <w:style w:type="paragraph" w:styleId="71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5" w:customStyle="1">
    <w:name w:val="Normal_11_0"/>
    <w:uiPriority w:val="0"/>
    <w:qFormat/>
    <w:rPr>
      <w:rFonts w:hint="default" w:ascii="黑体" w:hAnsi="黑体" w:eastAsia="黑体" w:cs="Times New Roman"/>
      <w:b/>
      <w:sz w:val="32"/>
      <w:szCs w:val="24"/>
      <w:lang w:bidi="ar-SA"/>
    </w:rPr>
  </w:style>
  <w:style w:type="character" w:styleId="716" w:customStyle="1">
    <w:name w:val="要点1"/>
    <w:link w:val="660"/>
    <w:uiPriority w:val="0"/>
    <w:qFormat/>
    <w:rPr>
      <w:b/>
    </w:rPr>
  </w:style>
  <w:style w:type="paragraph" w:styleId="717" w:customStyle="1">
    <w:name w:val="标题 41"/>
    <w:basedOn w:val="660"/>
    <w:next w:val="66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718"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9"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1" w:customStyle="1">
    <w:name w:val="Normal_12_0"/>
    <w:uiPriority w:val="0"/>
    <w:qFormat/>
    <w:rPr>
      <w:rFonts w:hint="default" w:ascii="黑体" w:hAnsi="黑体" w:eastAsia="黑体" w:cs="Times New Roman"/>
      <w:b/>
      <w:sz w:val="32"/>
      <w:szCs w:val="24"/>
      <w:lang w:bidi="ar-SA"/>
    </w:rPr>
  </w:style>
  <w:style w:type="paragraph" w:styleId="72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3" w:customStyle="1">
    <w:name w:val="纯文本_0_0"/>
    <w:basedOn w:val="722"/>
    <w:uiPriority w:val="0"/>
    <w:unhideWhenUsed/>
    <w:qFormat/>
    <w:rPr>
      <w:rFonts w:ascii="宋体" w:hAnsi="Courier New"/>
      <w:szCs w:val="21"/>
    </w:rPr>
  </w:style>
  <w:style w:type="paragraph" w:styleId="724"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5" w:customStyle="1">
    <w:name w:val="Normal_13_0"/>
    <w:uiPriority w:val="0"/>
    <w:qFormat/>
    <w:rPr>
      <w:rFonts w:hint="default" w:ascii="黑体" w:hAnsi="黑体" w:eastAsia="黑体" w:cs="Times New Roman"/>
      <w:b/>
      <w:sz w:val="32"/>
      <w:szCs w:val="24"/>
      <w:lang w:bidi="ar-SA"/>
    </w:rPr>
  </w:style>
  <w:style w:type="paragraph" w:styleId="726"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7" w:customStyle="1">
    <w:name w:val="Normal_14_0"/>
    <w:uiPriority w:val="0"/>
    <w:qFormat/>
    <w:rPr>
      <w:rFonts w:hint="default" w:ascii="黑体" w:hAnsi="黑体" w:eastAsia="黑体" w:cs="Times New Roman"/>
      <w:b/>
      <w:sz w:val="32"/>
      <w:szCs w:val="24"/>
      <w:lang w:bidi="ar-SA"/>
    </w:rPr>
  </w:style>
  <w:style w:type="paragraph" w:styleId="728"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customStyle="1">
    <w:name w:val="Normal_15_0"/>
    <w:uiPriority w:val="0"/>
    <w:qFormat/>
    <w:rPr>
      <w:rFonts w:hint="default" w:ascii="黑体" w:hAnsi="黑体" w:eastAsia="黑体" w:cs="Times New Roman"/>
      <w:b/>
      <w:sz w:val="32"/>
      <w:szCs w:val="24"/>
      <w:lang w:bidi="ar-SA"/>
    </w:rPr>
  </w:style>
  <w:style w:type="paragraph" w:styleId="73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Normal_17_0"/>
    <w:uiPriority w:val="0"/>
    <w:qFormat/>
    <w:rPr>
      <w:rFonts w:hint="default" w:ascii="黑体" w:hAnsi="黑体" w:eastAsia="黑体" w:cs="Times New Roman"/>
      <w:b/>
      <w:sz w:val="32"/>
      <w:szCs w:val="24"/>
      <w:lang w:bidi="ar-SA"/>
    </w:rPr>
  </w:style>
  <w:style w:type="paragraph" w:styleId="733"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Normal_18_0"/>
    <w:uiPriority w:val="0"/>
    <w:qFormat/>
    <w:rPr>
      <w:rFonts w:hint="default" w:ascii="黑体" w:hAnsi="黑体" w:eastAsia="黑体" w:cs="Times New Roman"/>
      <w:b/>
      <w:sz w:val="32"/>
      <w:szCs w:val="24"/>
      <w:lang w:bidi="ar-SA"/>
    </w:rPr>
  </w:style>
  <w:style w:type="paragraph" w:styleId="736"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7" w:customStyle="1">
    <w:name w:val="页脚11"/>
    <w:basedOn w:val="660"/>
    <w:uiPriority w:val="99"/>
    <w:qFormat/>
    <w:pPr>
      <w:jc w:val="left"/>
      <w:tabs>
        <w:tab w:val="center" w:pos="4153" w:leader="none"/>
        <w:tab w:val="right" w:pos="8306" w:leader="none"/>
      </w:tabs>
    </w:pPr>
    <w:rPr>
      <w:rFonts w:ascii="Calibri" w:hAnsi="Calibri"/>
      <w:sz w:val="18"/>
      <w:szCs w:val="18"/>
    </w:rPr>
  </w:style>
  <w:style w:type="paragraph" w:styleId="738" w:customStyle="1">
    <w:name w:val="标题 31111"/>
    <w:basedOn w:val="660"/>
    <w:next w:val="660"/>
    <w:uiPriority w:val="9"/>
    <w:qFormat/>
    <w:pPr>
      <w:keepLines/>
      <w:keepNext/>
      <w:spacing w:before="320" w:after="200"/>
      <w:outlineLvl w:val="2"/>
    </w:pPr>
    <w:rPr>
      <w:rFonts w:ascii="Arial" w:hAnsi="Arial" w:eastAsia="Arial"/>
      <w:sz w:val="30"/>
      <w:szCs w:val="30"/>
    </w:rPr>
  </w:style>
  <w:style w:type="paragraph" w:styleId="739" w:customStyle="1">
    <w:name w:val="null3"/>
    <w:hidden/>
    <w:uiPriority w:val="0"/>
    <w:qFormat/>
    <w:rPr>
      <w:rFonts w:hint="eastAsia" w:asciiTheme="minorHAnsi" w:hAnsiTheme="minorHAnsi" w:eastAsiaTheme="minorEastAsia" w:cstheme="minorBidi"/>
      <w:lang w:val="en-US" w:eastAsia="zh-Hans"/>
    </w:rPr>
  </w:style>
  <w:style w:type="paragraph" w:styleId="740">
    <w:name w:val="List Paragraph"/>
    <w:basedOn w:val="660"/>
    <w:uiPriority w:val="34"/>
    <w:qFormat/>
    <w:pPr>
      <w:contextualSpacing/>
      <w:ind w:left="720"/>
    </w:pPr>
  </w:style>
  <w:style w:type="character" w:styleId="741" w:customStyle="1">
    <w:name w:val="默认段落字体1"/>
    <w:link w:val="660"/>
    <w:uiPriority w:val="1"/>
    <w:unhideWhenUsed/>
    <w:qFormat/>
    <w:rPr>
      <w:rFonts w:hint="default" w:ascii="Calibri" w:hAnsi="Calibri" w:eastAsia="宋体" w:cs="Times New Roman"/>
      <w:sz w:val="21"/>
      <w:szCs w:val="22"/>
      <w:lang w:val="en-US" w:eastAsia="zh-CN" w:bidi="ar-SA"/>
    </w:rPr>
  </w:style>
  <w:style w:type="character" w:styleId="742" w:customStyle="1">
    <w:name w:val="font01"/>
    <w:basedOn w:val="662"/>
    <w:link w:val="660"/>
    <w:uiPriority w:val="0"/>
    <w:qFormat/>
    <w:rPr>
      <w:rFonts w:hint="eastAsia" w:ascii="宋体" w:hAnsi="宋体" w:eastAsia="宋体" w:cs="宋体"/>
      <w:color w:val="000000"/>
      <w:sz w:val="24"/>
      <w:szCs w:val="24"/>
      <w:u w:val="none"/>
    </w:rPr>
  </w:style>
  <w:style w:type="character" w:styleId="743" w:customStyle="1">
    <w:name w:val="font21"/>
    <w:basedOn w:val="662"/>
    <w:link w:val="660"/>
    <w:uiPriority w:val="0"/>
    <w:qFormat/>
    <w:rPr>
      <w:rFonts w:ascii="Times New Roman" w:hAnsi="Times New Roman"/>
      <w:color w:val="000000"/>
      <w:sz w:val="20"/>
      <w:u w:val="none"/>
    </w:rPr>
  </w:style>
  <w:style w:type="paragraph" w:styleId="744" w:customStyle="1">
    <w:name w:val="段"/>
    <w:next w:val="74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45" w:customStyle="1">
    <w:name w:val="正文 A"/>
    <w:next w:val="744"/>
    <w:uiPriority w:val="0"/>
    <w:qFormat/>
    <w:pPr>
      <w:jc w:val="both"/>
      <w:widowControl w:val="off"/>
    </w:pPr>
    <w:rPr>
      <w:rFonts w:hint="default" w:ascii="Calibri" w:hAnsi="Calibri" w:eastAsia="Calibri" w:cs="Calibri"/>
      <w:color w:val="000000"/>
      <w:sz w:val="21"/>
      <w:szCs w:val="21"/>
      <w:lang w:val="en-US" w:eastAsia="zh-CN" w:bidi="ar-SA"/>
    </w:rPr>
  </w:style>
  <w:style w:type="numbering" w:styleId="12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张沁宇</cp:lastModifiedBy>
  <cp:revision>1</cp:revision>
  <dcterms:created xsi:type="dcterms:W3CDTF">2025-11-27T06:35:00Z</dcterms:created>
  <dcterms:modified xsi:type="dcterms:W3CDTF">2025-12-25T09:57:22Z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eyJoZGlkIjoiYzQyMzdkOTA4NGFjNTcxZjM5YWQ3NWUxNmJiYmMzN2MiLCJ1c2VySWQiOiIzMTg5MzgxNzEifQ==</vt:lpwstr>
  </property>
  <property fmtid="{D5CDD505-2E9C-101B-9397-08002B2CF9AE}" pid="4" name="ICV">
    <vt:lpwstr>E2B1DC26BEDA4E55B74426143AA6A5F1_13</vt:lpwstr>
  </property>
</Properties>
</file>